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spacing w:val="-34"/>
          <w:sz w:val="48"/>
          <w:szCs w:val="48"/>
          <w:lang w:val="en-US" w:eastAsia="zh-CN"/>
        </w:rPr>
      </w:pPr>
      <w:r>
        <w:rPr>
          <w:rFonts w:hint="eastAsia" w:ascii="方正小标宋简体" w:eastAsia="方正小标宋简体"/>
          <w:color w:val="FF0000"/>
          <w:spacing w:val="20"/>
          <w:sz w:val="36"/>
          <w:szCs w:val="36"/>
          <w:lang w:eastAsia="zh-CN"/>
        </w:rPr>
        <mc:AlternateContent>
          <mc:Choice Requires="wpg">
            <w:drawing>
              <wp:anchor distT="0" distB="0" distL="114300" distR="114300" simplePos="0" relativeHeight="251659264" behindDoc="0" locked="0" layoutInCell="1" allowOverlap="1">
                <wp:simplePos x="0" y="0"/>
                <wp:positionH relativeFrom="column">
                  <wp:posOffset>-189865</wp:posOffset>
                </wp:positionH>
                <wp:positionV relativeFrom="paragraph">
                  <wp:posOffset>1094105</wp:posOffset>
                </wp:positionV>
                <wp:extent cx="5605145" cy="7886065"/>
                <wp:effectExtent l="0" t="15875" r="14605" b="41910"/>
                <wp:wrapNone/>
                <wp:docPr id="3" name="组合 3"/>
                <wp:cNvGraphicFramePr/>
                <a:graphic xmlns:a="http://schemas.openxmlformats.org/drawingml/2006/main">
                  <a:graphicData uri="http://schemas.microsoft.com/office/word/2010/wordprocessingGroup">
                    <wpg:wgp>
                      <wpg:cNvGrpSpPr/>
                      <wpg:grpSpPr>
                        <a:xfrm>
                          <a:off x="0" y="0"/>
                          <a:ext cx="5605145" cy="7886065"/>
                          <a:chOff x="1519" y="4281"/>
                          <a:chExt cx="8932" cy="10923"/>
                        </a:xfrm>
                      </wpg:grpSpPr>
                      <wps:wsp>
                        <wps:cNvPr id="1" name="直接连接符 1"/>
                        <wps:cNvCnPr/>
                        <wps:spPr>
                          <a:xfrm>
                            <a:off x="1519" y="4281"/>
                            <a:ext cx="8932" cy="5"/>
                          </a:xfrm>
                          <a:prstGeom prst="line">
                            <a:avLst/>
                          </a:prstGeom>
                          <a:ln w="31750" cap="flat" cmpd="thickThin">
                            <a:solidFill>
                              <a:srgbClr val="FF0000"/>
                            </a:solidFill>
                            <a:prstDash val="solid"/>
                            <a:round/>
                            <a:headEnd type="none" w="med" len="med"/>
                            <a:tailEnd type="none" w="med" len="med"/>
                          </a:ln>
                          <a:effectLst>
                            <a:outerShdw algn="ctr" rotWithShape="0">
                              <a:srgbClr val="C0C0C0"/>
                            </a:outerShdw>
                          </a:effectLst>
                        </wps:spPr>
                        <wps:bodyPr upright="1"/>
                      </wps:wsp>
                      <wps:wsp>
                        <wps:cNvPr id="2" name="直接连接符 2"/>
                        <wps:cNvCnPr/>
                        <wps:spPr>
                          <a:xfrm>
                            <a:off x="1530" y="15199"/>
                            <a:ext cx="8921" cy="5"/>
                          </a:xfrm>
                          <a:prstGeom prst="line">
                            <a:avLst/>
                          </a:prstGeom>
                          <a:ln w="53999" cap="flat" cmpd="thinThick">
                            <a:solidFill>
                              <a:srgbClr val="FF0000"/>
                            </a:solidFill>
                            <a:prstDash val="solid"/>
                            <a:round/>
                            <a:headEnd type="none" w="med" len="med"/>
                            <a:tailEnd type="none" w="med" len="med"/>
                          </a:ln>
                          <a:effectLst>
                            <a:outerShdw algn="ctr" rotWithShape="0">
                              <a:srgbClr val="C0C0C0"/>
                            </a:outerShdw>
                          </a:effectLst>
                        </wps:spPr>
                        <wps:bodyPr upright="1"/>
                      </wps:wsp>
                    </wpg:wgp>
                  </a:graphicData>
                </a:graphic>
              </wp:anchor>
            </w:drawing>
          </mc:Choice>
          <mc:Fallback>
            <w:pict>
              <v:group id="_x0000_s1026" o:spid="_x0000_s1026" o:spt="203" style="position:absolute;left:0pt;margin-left:-14.95pt;margin-top:86.15pt;height:620.95pt;width:441.35pt;z-index:251659264;mso-width-relative:page;mso-height-relative:page;" coordorigin="1519,4281" coordsize="8932,10923" o:gfxdata="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USD649wAAAAMAQAADwAAAAAAAAABACAAAAAiAAAAZHJzL2Rv&#10;d25yZXYueG1sUEsBAhQAFAAAAAgAh07iQAgYJIrhAgAAGwgAAA4AAAAAAAAAAQAgAAAAKwEAAGRy&#10;cy9lMm9Eb2MueG1sUEsFBgAAAAAGAAYAWQEAAH4GAAAAAA==&#10;">
                <o:lock v:ext="edit" aspectratio="f"/>
                <v:line id="_x0000_s1026" o:spid="_x0000_s1026" o:spt="20" style="position:absolute;left:1519;top:4281;height:5;width:8932;" filled="f" stroked="t" coordsize="21600,21600" o:gfxdata="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syqSLsAAADa&#10;AAAADwAAAAAAAAABACAAAAAiAAAAZHJzL2Rvd25yZXYueG1sUEsBAhQAFAAAAAgAh07iQDMvBZ47&#10;AAAAOQAAABAAAAAAAAAAAQAgAAAACgEAAGRycy9zaGFwZXhtbC54bWxQSwUGAAAAAAYABgBbAQAA&#10;tAMAAAAA&#10;">
                  <v:fill on="f" focussize="0,0"/>
                  <v:stroke weight="2.5pt" color="#FF0000" linestyle="thickThin" joinstyle="round"/>
                  <v:imagedata o:title=""/>
                  <o:lock v:ext="edit" aspectratio="f"/>
                  <v:shadow on="t" color="#C0C0C0" offset="0pt,0pt" origin="0f,0f" matrix="65536f,0f,0f,65536f"/>
                </v:line>
                <v:line id="_x0000_s1026" o:spid="_x0000_s1026" o:spt="20" style="position:absolute;left:1530;top:15199;height:5;width:8921;" filled="f" stroked="t" coordsize="21600,21600" o:gfxdata="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zvSJvQAA&#10;ANoAAAAPAAAAAAAAAAEAIAAAACIAAABkcnMvZG93bnJldi54bWxQSwECFAAUAAAACACHTuJAMy8F&#10;njsAAAA5AAAAEAAAAAAAAAABACAAAAAMAQAAZHJzL3NoYXBleG1sLnhtbFBLBQYAAAAABgAGAFsB&#10;AAC2AwAAAAA=&#10;">
                  <v:fill on="f" focussize="0,0"/>
                  <v:stroke weight="4.25188976377953pt" color="#FF0000" linestyle="thinThick" joinstyle="round"/>
                  <v:imagedata o:title=""/>
                  <o:lock v:ext="edit" aspectratio="f"/>
                  <v:shadow on="t" color="#C0C0C0" offset="0pt,0pt" origin="0f,0f" matrix="65536f,0f,0f,65536f"/>
                </v:line>
              </v:group>
            </w:pict>
          </mc:Fallback>
        </mc:AlternateContent>
      </w:r>
      <w:r>
        <w:rPr>
          <w:rFonts w:hint="eastAsia" w:ascii="方正小标宋简体" w:eastAsia="方正小标宋简体"/>
          <w:color w:val="FF0000"/>
          <w:spacing w:val="20"/>
          <w:sz w:val="52"/>
          <w:szCs w:val="52"/>
          <w:lang w:val="en-US" w:eastAsia="zh-CN"/>
        </w:rPr>
        <w:t>湾碧傣族傈僳族乡巩固脱贫攻坚推进乡村振兴领导小组</w:t>
      </w:r>
      <w:r>
        <w:rPr>
          <w:rFonts w:hint="eastAsia" w:ascii="方正小标宋简体" w:eastAsia="方正小标宋简体"/>
          <w:color w:val="FF0000"/>
          <w:spacing w:val="20"/>
          <w:sz w:val="52"/>
          <w:szCs w:val="52"/>
          <w:lang w:eastAsia="zh-CN"/>
        </w:rPr>
        <w:t>办公室</w:t>
      </w: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eastAsia" w:ascii="方正小标宋简体" w:hAnsi="方正小标宋简体" w:eastAsia="方正小标宋简体" w:cs="方正小标宋简体"/>
          <w:spacing w:val="-34"/>
          <w:sz w:val="48"/>
          <w:szCs w:val="48"/>
        </w:rPr>
      </w:pPr>
      <w:r>
        <w:rPr>
          <w:rFonts w:hint="eastAsia" w:ascii="方正小标宋简体" w:hAnsi="方正小标宋简体" w:eastAsia="方正小标宋简体" w:cs="方正小标宋简体"/>
          <w:spacing w:val="-51"/>
          <w:sz w:val="48"/>
          <w:szCs w:val="48"/>
          <w:lang w:val="en-US" w:eastAsia="zh-CN"/>
        </w:rPr>
        <w:t>湾碧乡</w:t>
      </w:r>
      <w:r>
        <w:rPr>
          <w:rFonts w:hint="eastAsia" w:ascii="方正小标宋简体" w:hAnsi="方正小标宋简体" w:eastAsia="方正小标宋简体" w:cs="方正小标宋简体"/>
          <w:spacing w:val="-51"/>
          <w:sz w:val="48"/>
          <w:szCs w:val="48"/>
        </w:rPr>
        <w:t>巩固脱贫攻坚推进乡村振兴领导小</w:t>
      </w:r>
      <w:r>
        <w:rPr>
          <w:rFonts w:hint="eastAsia" w:ascii="方正小标宋简体" w:hAnsi="方正小标宋简体" w:eastAsia="方正小标宋简体" w:cs="方正小标宋简体"/>
          <w:spacing w:val="-51"/>
          <w:sz w:val="48"/>
          <w:szCs w:val="48"/>
          <w:lang w:val="en-US" w:eastAsia="zh-CN"/>
        </w:rPr>
        <w:t>组</w:t>
      </w:r>
      <w:r>
        <w:rPr>
          <w:rFonts w:hint="eastAsia" w:ascii="方正小标宋简体" w:hAnsi="方正小标宋简体" w:eastAsia="方正小标宋简体" w:cs="方正小标宋简体"/>
          <w:spacing w:val="-34"/>
          <w:sz w:val="48"/>
          <w:szCs w:val="48"/>
        </w:rPr>
        <w:t>办公室关于落实2023年产业发展促增收</w:t>
      </w: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eastAsia" w:ascii="方正小标宋简体" w:hAnsi="方正小标宋简体" w:eastAsia="方正小标宋简体" w:cs="方正小标宋简体"/>
          <w:spacing w:val="-34"/>
          <w:sz w:val="48"/>
          <w:szCs w:val="48"/>
        </w:rPr>
      </w:pPr>
      <w:r>
        <w:rPr>
          <w:rFonts w:hint="eastAsia" w:ascii="方正小标宋简体" w:hAnsi="方正小标宋简体" w:eastAsia="方正小标宋简体" w:cs="方正小标宋简体"/>
          <w:spacing w:val="-34"/>
          <w:sz w:val="48"/>
          <w:szCs w:val="48"/>
        </w:rPr>
        <w:t>重点工作措施的通知</w:t>
      </w:r>
    </w:p>
    <w:p>
      <w:pPr>
        <w:keepNext w:val="0"/>
        <w:keepLines w:val="0"/>
        <w:pageBreakBefore w:val="0"/>
        <w:widowControl/>
        <w:kinsoku/>
        <w:wordWrap/>
        <w:overflowPunct/>
        <w:topLinePunct w:val="0"/>
        <w:autoSpaceDE/>
        <w:autoSpaceDN/>
        <w:bidi w:val="0"/>
        <w:adjustRightInd w:val="0"/>
        <w:snapToGrid w:val="0"/>
        <w:spacing w:line="600" w:lineRule="exact"/>
        <w:textAlignment w:val="auto"/>
      </w:pP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各村（社区）委会，乡机关各办公室、中心（所）：</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为认真贯彻落实中央、省、州</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县</w:t>
      </w:r>
      <w:r>
        <w:rPr>
          <w:rFonts w:hint="eastAsia" w:ascii="仿宋" w:hAnsi="仿宋" w:eastAsia="仿宋" w:cs="仿宋"/>
          <w:sz w:val="32"/>
          <w:szCs w:val="32"/>
        </w:rPr>
        <w:t>关于巩固拓展脱贫攻坚成果同乡村振兴有效衔接决策部署，促进全</w:t>
      </w:r>
      <w:r>
        <w:rPr>
          <w:rFonts w:hint="eastAsia" w:ascii="仿宋" w:hAnsi="仿宋" w:eastAsia="仿宋" w:cs="仿宋"/>
          <w:sz w:val="32"/>
          <w:szCs w:val="32"/>
          <w:lang w:val="en-US" w:eastAsia="zh-CN"/>
        </w:rPr>
        <w:t>乡</w:t>
      </w:r>
      <w:r>
        <w:rPr>
          <w:rFonts w:hint="eastAsia" w:ascii="仿宋" w:hAnsi="仿宋" w:eastAsia="仿宋" w:cs="仿宋"/>
          <w:sz w:val="32"/>
          <w:szCs w:val="32"/>
        </w:rPr>
        <w:t>脱贫户和易返贫致贫户持续稳定增收，根据省、州《关于做好2023年脱贫人口产业发展促增收重点工作的通知》（楚巩固振兴组办发〔2023〕2号）</w:t>
      </w:r>
      <w:r>
        <w:rPr>
          <w:rFonts w:hint="eastAsia" w:ascii="仿宋" w:hAnsi="仿宋" w:eastAsia="仿宋" w:cs="仿宋"/>
          <w:sz w:val="32"/>
          <w:szCs w:val="32"/>
          <w:lang w:eastAsia="zh-CN"/>
        </w:rPr>
        <w:t>、《</w:t>
      </w:r>
      <w:r>
        <w:rPr>
          <w:rFonts w:hint="eastAsia" w:ascii="仿宋" w:hAnsi="仿宋" w:eastAsia="仿宋" w:cs="仿宋"/>
          <w:sz w:val="32"/>
          <w:szCs w:val="32"/>
        </w:rPr>
        <w:t>大姚县巩固脱贫攻坚推进乡村振兴领导</w:t>
      </w:r>
      <w:r>
        <w:rPr>
          <w:rFonts w:hint="eastAsia" w:ascii="仿宋" w:hAnsi="仿宋" w:eastAsia="仿宋" w:cs="仿宋"/>
          <w:sz w:val="32"/>
          <w:szCs w:val="32"/>
          <w:lang w:val="en-US" w:eastAsia="zh-CN"/>
        </w:rPr>
        <w:t>小组</w:t>
      </w:r>
      <w:bookmarkStart w:id="0" w:name="_GoBack"/>
      <w:bookmarkEnd w:id="0"/>
      <w:r>
        <w:rPr>
          <w:rFonts w:hint="eastAsia" w:ascii="仿宋" w:hAnsi="仿宋" w:eastAsia="仿宋" w:cs="仿宋"/>
          <w:sz w:val="32"/>
          <w:szCs w:val="32"/>
        </w:rPr>
        <w:t>办公室关于落实2023年产业发展促增收重点工作措施的通知</w:t>
      </w:r>
      <w:r>
        <w:rPr>
          <w:rFonts w:hint="eastAsia" w:ascii="仿宋" w:hAnsi="仿宋" w:eastAsia="仿宋" w:cs="仿宋"/>
          <w:sz w:val="32"/>
          <w:szCs w:val="32"/>
          <w:lang w:eastAsia="zh-CN"/>
        </w:rPr>
        <w:t>》（大巩固振兴组办〔2023〕1号）</w:t>
      </w:r>
      <w:r>
        <w:rPr>
          <w:rFonts w:hint="eastAsia" w:ascii="仿宋" w:hAnsi="仿宋" w:eastAsia="仿宋" w:cs="仿宋"/>
          <w:sz w:val="32"/>
          <w:szCs w:val="32"/>
          <w:lang w:val="en-US" w:eastAsia="zh-CN"/>
        </w:rPr>
        <w:t>和</w:t>
      </w:r>
      <w:r>
        <w:rPr>
          <w:rFonts w:hint="eastAsia" w:ascii="仿宋" w:hAnsi="仿宋" w:eastAsia="仿宋" w:cs="仿宋"/>
          <w:sz w:val="32"/>
          <w:szCs w:val="32"/>
        </w:rPr>
        <w:t>《</w:t>
      </w:r>
      <w:r>
        <w:rPr>
          <w:rFonts w:hint="eastAsia" w:ascii="仿宋" w:hAnsi="仿宋" w:eastAsia="仿宋" w:cs="仿宋"/>
          <w:sz w:val="32"/>
          <w:szCs w:val="32"/>
          <w:lang w:val="en-US" w:eastAsia="zh-CN"/>
        </w:rPr>
        <w:t>湾碧乡</w:t>
      </w:r>
      <w:r>
        <w:rPr>
          <w:rFonts w:hint="eastAsia" w:ascii="仿宋" w:hAnsi="仿宋" w:eastAsia="仿宋" w:cs="仿宋"/>
          <w:sz w:val="32"/>
          <w:szCs w:val="32"/>
        </w:rPr>
        <w:t>促进脱贫人口持续增收三年行动方案》</w:t>
      </w:r>
      <w:r>
        <w:rPr>
          <w:rFonts w:hint="eastAsia" w:ascii="仿宋" w:hAnsi="仿宋" w:eastAsia="仿宋" w:cs="仿宋"/>
          <w:sz w:val="32"/>
          <w:szCs w:val="32"/>
          <w:lang w:val="en-US" w:eastAsia="zh-CN"/>
        </w:rPr>
        <w:t>文件</w:t>
      </w:r>
      <w:r>
        <w:rPr>
          <w:rFonts w:hint="eastAsia" w:ascii="仿宋" w:hAnsi="仿宋" w:eastAsia="仿宋" w:cs="仿宋"/>
          <w:sz w:val="32"/>
          <w:szCs w:val="32"/>
        </w:rPr>
        <w:t>要求，结合我</w:t>
      </w:r>
      <w:r>
        <w:rPr>
          <w:rFonts w:hint="eastAsia" w:ascii="仿宋" w:hAnsi="仿宋" w:eastAsia="仿宋" w:cs="仿宋"/>
          <w:sz w:val="32"/>
          <w:szCs w:val="32"/>
          <w:lang w:val="en-US" w:eastAsia="zh-CN"/>
        </w:rPr>
        <w:t>乡</w:t>
      </w:r>
      <w:r>
        <w:rPr>
          <w:rFonts w:hint="eastAsia" w:ascii="仿宋" w:hAnsi="仿宋" w:eastAsia="仿宋" w:cs="仿宋"/>
          <w:sz w:val="32"/>
          <w:szCs w:val="32"/>
        </w:rPr>
        <w:t>实际，特制定本工作措施。</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一、工作目标</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围绕2023年脱贫人口、易返贫致贫人口人均纯收入达到全</w:t>
      </w:r>
      <w:r>
        <w:rPr>
          <w:rFonts w:hint="eastAsia" w:ascii="仿宋" w:hAnsi="仿宋" w:eastAsia="仿宋" w:cs="仿宋"/>
          <w:sz w:val="32"/>
          <w:szCs w:val="32"/>
          <w:lang w:val="en-US" w:eastAsia="zh-CN"/>
        </w:rPr>
        <w:t>县</w:t>
      </w:r>
      <w:r>
        <w:rPr>
          <w:rFonts w:hint="eastAsia" w:ascii="仿宋" w:hAnsi="仿宋" w:eastAsia="仿宋" w:cs="仿宋"/>
          <w:sz w:val="32"/>
          <w:szCs w:val="32"/>
        </w:rPr>
        <w:t>平均水平以上的目标，聚焦脱贫户和易返贫致贫户“两个群体”，抓住产业发展和就业帮扶“两个关键”，推动脱贫户和易返贫致贫户经营性、工资性、财产性、转移性收入“四个轮子”一起转，减轻合规自付刚性支出，持续促进稳定增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二、工作任务</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 w:hAnsi="仿宋" w:eastAsia="仿宋" w:cs="仿宋"/>
          <w:sz w:val="32"/>
          <w:szCs w:val="32"/>
        </w:rPr>
      </w:pPr>
      <w:r>
        <w:rPr>
          <w:rFonts w:hint="eastAsia" w:ascii="方正楷体简体" w:hAnsi="方正楷体简体" w:eastAsia="方正楷体简体" w:cs="方正楷体简体"/>
          <w:b/>
          <w:bCs/>
          <w:sz w:val="32"/>
          <w:szCs w:val="32"/>
        </w:rPr>
        <w:t>（一）统筹资金加大政策扶持。</w:t>
      </w:r>
      <w:r>
        <w:rPr>
          <w:rFonts w:hint="eastAsia" w:ascii="仿宋" w:hAnsi="仿宋" w:eastAsia="仿宋" w:cs="仿宋"/>
          <w:sz w:val="32"/>
          <w:szCs w:val="32"/>
        </w:rPr>
        <w:t>聚焦发展产业重点任务，抓住资金安排和项目库建设两个关键节点，切实落实产业发展资金比例，把促农增收、联农带农的产业项目纳入项目库并优先安排资金支持。乡振兴</w:t>
      </w:r>
      <w:r>
        <w:rPr>
          <w:rFonts w:hint="eastAsia" w:ascii="仿宋" w:hAnsi="仿宋" w:eastAsia="仿宋" w:cs="仿宋"/>
          <w:sz w:val="32"/>
          <w:szCs w:val="32"/>
          <w:lang w:val="en-US" w:eastAsia="zh-CN"/>
        </w:rPr>
        <w:t>办</w:t>
      </w:r>
      <w:r>
        <w:rPr>
          <w:rFonts w:hint="eastAsia" w:ascii="仿宋" w:hAnsi="仿宋" w:eastAsia="仿宋" w:cs="仿宋"/>
          <w:sz w:val="32"/>
          <w:szCs w:val="32"/>
        </w:rPr>
        <w:t>结合各</w:t>
      </w:r>
      <w:r>
        <w:rPr>
          <w:rFonts w:hint="eastAsia" w:ascii="仿宋" w:hAnsi="仿宋" w:eastAsia="仿宋" w:cs="仿宋"/>
          <w:sz w:val="32"/>
          <w:szCs w:val="32"/>
          <w:lang w:val="en-US" w:eastAsia="zh-CN"/>
        </w:rPr>
        <w:t>村（社区）</w:t>
      </w:r>
      <w:r>
        <w:rPr>
          <w:rFonts w:hint="eastAsia" w:ascii="仿宋" w:hAnsi="仿宋" w:eastAsia="仿宋" w:cs="仿宋"/>
          <w:sz w:val="32"/>
          <w:szCs w:val="32"/>
        </w:rPr>
        <w:t>产业谋划和各地村情实际，因地制宜部署衔接资金项目，2023年产业发展资金占衔接资金的比例不低于60%。建立健全产业项目联农带农机制和考核办法，对参与“双绑”机制且带动脱贫户、易返贫致贫户稳定增收的龙头企业、合作社，在涉农项目资金安排、用地用电、落实税费优惠政策、金融支持、投资奖补等方面依法依规给予倾斜支持，</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统筹整合财政涉农资金每年用于扶持“双绑”企业、合作社的资金占比达10%以上。</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 w:hAnsi="仿宋" w:eastAsia="仿宋" w:cs="仿宋"/>
          <w:sz w:val="32"/>
          <w:szCs w:val="32"/>
        </w:rPr>
      </w:pPr>
      <w:r>
        <w:rPr>
          <w:rFonts w:hint="eastAsia" w:ascii="方正楷体简体" w:hAnsi="方正楷体简体" w:eastAsia="方正楷体简体" w:cs="方正楷体简体"/>
          <w:b/>
          <w:bCs/>
          <w:sz w:val="32"/>
          <w:szCs w:val="32"/>
        </w:rPr>
        <w:t>（二）加快补齐短板促进帮扶产业提档升级。</w:t>
      </w:r>
      <w:r>
        <w:rPr>
          <w:rFonts w:hint="eastAsia" w:ascii="仿宋" w:hAnsi="仿宋" w:eastAsia="仿宋" w:cs="仿宋"/>
          <w:sz w:val="32"/>
          <w:szCs w:val="32"/>
        </w:rPr>
        <w:t>充分把握政策导向，利用高标准农田和冷链建设项目，完善产业集聚区的水利、道路、仓储等配套基础设施。进一步扩大良种良法推广覆盖，确保主要农作物良种推广覆盖率达99%以上，特色畜禽良种推广覆盖率达90%。充分利用和发挥农业系统专业技术力量，在改良种源的基础上，强化种、养、加工、销售全过程，延长农业产业链，实现产品增值、增收的同时，增加就业空间。充分利用农机补贴政策，增加农机饱和量。充分挖掘</w:t>
      </w:r>
      <w:r>
        <w:rPr>
          <w:rFonts w:hint="eastAsia" w:ascii="仿宋" w:hAnsi="仿宋" w:eastAsia="仿宋" w:cs="仿宋"/>
          <w:sz w:val="32"/>
          <w:szCs w:val="32"/>
          <w:lang w:val="en-US" w:eastAsia="zh-CN"/>
        </w:rPr>
        <w:t>金沙江干热河谷地带</w:t>
      </w:r>
      <w:r>
        <w:rPr>
          <w:rFonts w:hint="eastAsia" w:ascii="仿宋" w:hAnsi="仿宋" w:eastAsia="仿宋" w:cs="仿宋"/>
          <w:sz w:val="32"/>
          <w:szCs w:val="32"/>
        </w:rPr>
        <w:t>旅游资源，加大基础设施投入力度，支持、引导有条件的旅游企业、经营主体和脱贫人口从事餐饮、民宿、垂钓、采摘、游乐、体验等旅游相关经营活动，增加旅游收入的同时不断发展壮大我</w:t>
      </w:r>
      <w:r>
        <w:rPr>
          <w:rFonts w:hint="eastAsia" w:ascii="仿宋" w:hAnsi="仿宋" w:eastAsia="仿宋" w:cs="仿宋"/>
          <w:sz w:val="32"/>
          <w:szCs w:val="32"/>
          <w:lang w:val="en-US" w:eastAsia="zh-CN"/>
        </w:rPr>
        <w:t>乡</w:t>
      </w:r>
      <w:r>
        <w:rPr>
          <w:rFonts w:hint="eastAsia" w:ascii="仿宋" w:hAnsi="仿宋" w:eastAsia="仿宋" w:cs="仿宋"/>
          <w:sz w:val="32"/>
          <w:szCs w:val="32"/>
        </w:rPr>
        <w:t>的旅游产业。</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 w:hAnsi="仿宋" w:eastAsia="仿宋" w:cs="仿宋"/>
          <w:sz w:val="32"/>
          <w:szCs w:val="32"/>
        </w:rPr>
      </w:pPr>
      <w:r>
        <w:rPr>
          <w:rFonts w:hint="eastAsia" w:ascii="方正楷体简体" w:hAnsi="方正楷体简体" w:eastAsia="方正楷体简体" w:cs="方正楷体简体"/>
          <w:b/>
          <w:bCs/>
          <w:sz w:val="32"/>
          <w:szCs w:val="32"/>
        </w:rPr>
        <w:t>（三）打造高原特色农业产业集群。</w:t>
      </w:r>
      <w:r>
        <w:rPr>
          <w:rFonts w:hint="eastAsia" w:ascii="仿宋" w:hAnsi="仿宋" w:eastAsia="仿宋" w:cs="仿宋"/>
          <w:b/>
          <w:bCs/>
          <w:sz w:val="32"/>
          <w:szCs w:val="32"/>
        </w:rPr>
        <w:t>1.持续稳定粮食产业。</w:t>
      </w:r>
      <w:r>
        <w:rPr>
          <w:rFonts w:hint="eastAsia" w:ascii="仿宋" w:hAnsi="仿宋" w:eastAsia="仿宋" w:cs="仿宋"/>
          <w:sz w:val="32"/>
          <w:szCs w:val="32"/>
        </w:rPr>
        <w:t>深入实施“藏粮于地、藏粮于技”战略，落实耕地占补平衡，坚决遏制耕地“非农化”、防止“非粮化”，确保粮食安全。</w:t>
      </w:r>
      <w:r>
        <w:rPr>
          <w:rFonts w:hint="eastAsia" w:ascii="仿宋" w:hAnsi="仿宋" w:eastAsia="仿宋" w:cs="仿宋"/>
          <w:b/>
          <w:bCs/>
          <w:sz w:val="32"/>
          <w:szCs w:val="32"/>
        </w:rPr>
        <w:t>2.促进烤烟稳产增效。</w:t>
      </w:r>
      <w:r>
        <w:rPr>
          <w:rFonts w:hint="eastAsia" w:ascii="仿宋" w:hAnsi="仿宋" w:eastAsia="仿宋" w:cs="仿宋"/>
          <w:sz w:val="32"/>
          <w:szCs w:val="32"/>
        </w:rPr>
        <w:t>调优布局，稳定烤烟种植面积稳定在</w:t>
      </w:r>
      <w:r>
        <w:rPr>
          <w:rFonts w:hint="eastAsia" w:ascii="仿宋" w:hAnsi="仿宋" w:eastAsia="仿宋" w:cs="仿宋"/>
          <w:sz w:val="32"/>
          <w:szCs w:val="32"/>
          <w:lang w:val="en-US" w:eastAsia="zh-CN"/>
        </w:rPr>
        <w:t>2700</w:t>
      </w:r>
      <w:r>
        <w:rPr>
          <w:rFonts w:hint="eastAsia" w:ascii="仿宋" w:hAnsi="仿宋" w:eastAsia="仿宋" w:cs="仿宋"/>
          <w:sz w:val="32"/>
          <w:szCs w:val="32"/>
        </w:rPr>
        <w:t>亩以上。</w:t>
      </w:r>
      <w:r>
        <w:rPr>
          <w:rFonts w:hint="eastAsia" w:ascii="仿宋" w:hAnsi="仿宋" w:eastAsia="仿宋" w:cs="仿宋"/>
          <w:b/>
          <w:bCs/>
          <w:sz w:val="32"/>
          <w:szCs w:val="32"/>
        </w:rPr>
        <w:t>3.实施核桃产业提质增效。</w:t>
      </w:r>
      <w:r>
        <w:rPr>
          <w:rFonts w:hint="eastAsia" w:ascii="仿宋" w:hAnsi="仿宋" w:eastAsia="仿宋" w:cs="仿宋"/>
          <w:sz w:val="32"/>
          <w:szCs w:val="32"/>
        </w:rPr>
        <w:t>持续争创“一</w:t>
      </w:r>
      <w:r>
        <w:rPr>
          <w:rFonts w:hint="eastAsia" w:ascii="仿宋" w:hAnsi="仿宋" w:eastAsia="仿宋" w:cs="仿宋"/>
          <w:sz w:val="32"/>
          <w:szCs w:val="32"/>
          <w:lang w:val="en-US" w:eastAsia="zh-CN"/>
        </w:rPr>
        <w:t>乡</w:t>
      </w:r>
      <w:r>
        <w:rPr>
          <w:rFonts w:hint="eastAsia" w:ascii="仿宋" w:hAnsi="仿宋" w:eastAsia="仿宋" w:cs="仿宋"/>
          <w:sz w:val="32"/>
          <w:szCs w:val="32"/>
        </w:rPr>
        <w:t>一</w:t>
      </w:r>
      <w:r>
        <w:rPr>
          <w:rFonts w:hint="eastAsia" w:ascii="仿宋" w:hAnsi="仿宋" w:eastAsia="仿宋" w:cs="仿宋"/>
          <w:sz w:val="32"/>
          <w:szCs w:val="32"/>
          <w:lang w:val="en-US" w:eastAsia="zh-CN"/>
        </w:rPr>
        <w:t>品</w:t>
      </w:r>
      <w:r>
        <w:rPr>
          <w:rFonts w:hint="eastAsia" w:ascii="仿宋" w:hAnsi="仿宋" w:eastAsia="仿宋" w:cs="仿宋"/>
          <w:sz w:val="32"/>
          <w:szCs w:val="32"/>
        </w:rPr>
        <w:t>”品牌，向</w:t>
      </w:r>
      <w:r>
        <w:rPr>
          <w:rFonts w:hint="eastAsia" w:ascii="仿宋" w:hAnsi="仿宋" w:eastAsia="仿宋" w:cs="仿宋"/>
          <w:sz w:val="32"/>
          <w:szCs w:val="32"/>
          <w:lang w:val="en-US" w:eastAsia="zh-CN"/>
        </w:rPr>
        <w:t>县级部门</w:t>
      </w:r>
      <w:r>
        <w:rPr>
          <w:rFonts w:hint="eastAsia" w:ascii="仿宋" w:hAnsi="仿宋" w:eastAsia="仿宋" w:cs="仿宋"/>
          <w:sz w:val="32"/>
          <w:szCs w:val="32"/>
        </w:rPr>
        <w:t>争取核桃加工一体化一级站、二级站建设，拓宽核桃加工及销售渠道。引导农户转变销售模式，由原来卖鲜果、带壳干果为卖核桃仁，增加核桃附加值。</w:t>
      </w:r>
      <w:r>
        <w:rPr>
          <w:rFonts w:hint="eastAsia" w:ascii="仿宋" w:hAnsi="仿宋" w:eastAsia="仿宋" w:cs="仿宋"/>
          <w:b/>
          <w:bCs/>
          <w:sz w:val="32"/>
          <w:szCs w:val="32"/>
        </w:rPr>
        <w:t>4.实施花椒产业提质增效。</w:t>
      </w:r>
      <w:r>
        <w:rPr>
          <w:rFonts w:hint="eastAsia" w:ascii="仿宋" w:hAnsi="仿宋" w:eastAsia="仿宋" w:cs="仿宋"/>
          <w:sz w:val="32"/>
          <w:szCs w:val="32"/>
        </w:rPr>
        <w:t>打造花椒绿色产业基地，实施花椒绿色、有机产品基地认证，</w:t>
      </w:r>
      <w:r>
        <w:rPr>
          <w:rFonts w:hint="eastAsia" w:ascii="仿宋" w:hAnsi="仿宋" w:eastAsia="仿宋" w:cs="仿宋"/>
          <w:sz w:val="32"/>
          <w:szCs w:val="32"/>
          <w:lang w:val="en-US" w:eastAsia="zh-CN"/>
        </w:rPr>
        <w:t>在现有花椒种植面积的基础上不断增加种植面积</w:t>
      </w:r>
      <w:r>
        <w:rPr>
          <w:rFonts w:hint="eastAsia" w:ascii="仿宋" w:hAnsi="仿宋" w:eastAsia="仿宋" w:cs="仿宋"/>
          <w:sz w:val="32"/>
          <w:szCs w:val="32"/>
        </w:rPr>
        <w:t>。</w:t>
      </w:r>
      <w:r>
        <w:rPr>
          <w:rFonts w:hint="eastAsia" w:ascii="仿宋" w:hAnsi="仿宋" w:eastAsia="仿宋" w:cs="仿宋"/>
          <w:b/>
          <w:bCs/>
          <w:sz w:val="32"/>
          <w:szCs w:val="32"/>
        </w:rPr>
        <w:t>5.大力发展特色水果产业。</w:t>
      </w:r>
      <w:r>
        <w:rPr>
          <w:rFonts w:hint="eastAsia" w:ascii="仿宋" w:hAnsi="仿宋" w:eastAsia="仿宋" w:cs="仿宋"/>
          <w:sz w:val="32"/>
          <w:szCs w:val="32"/>
        </w:rPr>
        <w:t>重点打造</w:t>
      </w:r>
      <w:r>
        <w:rPr>
          <w:rFonts w:hint="eastAsia" w:ascii="仿宋" w:hAnsi="仿宋" w:eastAsia="仿宋" w:cs="仿宋"/>
          <w:sz w:val="32"/>
          <w:szCs w:val="32"/>
          <w:lang w:val="en-US" w:eastAsia="zh-CN"/>
        </w:rPr>
        <w:t>6</w:t>
      </w:r>
      <w:r>
        <w:rPr>
          <w:rFonts w:hint="eastAsia" w:ascii="仿宋" w:hAnsi="仿宋" w:eastAsia="仿宋" w:cs="仿宋"/>
          <w:sz w:val="32"/>
          <w:szCs w:val="32"/>
        </w:rPr>
        <w:t>万亩金沙江沿岸芒果金色走廊</w:t>
      </w:r>
      <w:r>
        <w:rPr>
          <w:rFonts w:hint="eastAsia" w:ascii="仿宋" w:hAnsi="仿宋" w:eastAsia="仿宋" w:cs="仿宋"/>
          <w:sz w:val="32"/>
          <w:szCs w:val="32"/>
          <w:lang w:eastAsia="zh-CN"/>
        </w:rPr>
        <w:t>，</w:t>
      </w:r>
      <w:r>
        <w:rPr>
          <w:rFonts w:hint="eastAsia" w:ascii="仿宋" w:hAnsi="仿宋" w:eastAsia="仿宋" w:cs="仿宋"/>
          <w:sz w:val="32"/>
          <w:szCs w:val="32"/>
        </w:rPr>
        <w:t>建设8万亩特色水果生产基地，完成水果类“三品一标认证”</w:t>
      </w:r>
      <w:r>
        <w:rPr>
          <w:rFonts w:hint="eastAsia" w:ascii="仿宋" w:hAnsi="仿宋" w:eastAsia="仿宋" w:cs="仿宋"/>
          <w:sz w:val="32"/>
          <w:szCs w:val="32"/>
          <w:lang w:val="en-US" w:eastAsia="zh-CN"/>
        </w:rPr>
        <w:t>1</w:t>
      </w:r>
      <w:r>
        <w:rPr>
          <w:rFonts w:hint="eastAsia" w:ascii="仿宋" w:hAnsi="仿宋" w:eastAsia="仿宋" w:cs="仿宋"/>
          <w:sz w:val="32"/>
          <w:szCs w:val="32"/>
        </w:rPr>
        <w:t>个以上。</w:t>
      </w: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.大力发展黑山羊产业。</w:t>
      </w:r>
      <w:r>
        <w:rPr>
          <w:rFonts w:hint="eastAsia" w:ascii="仿宋" w:hAnsi="仿宋" w:eastAsia="仿宋" w:cs="仿宋"/>
          <w:sz w:val="32"/>
          <w:szCs w:val="32"/>
          <w:lang w:val="en-US" w:eastAsia="zh-CN"/>
        </w:rPr>
        <w:t>以黑山羊养殖“10万+”为目标，</w:t>
      </w:r>
      <w:r>
        <w:rPr>
          <w:rFonts w:hint="eastAsia" w:ascii="仿宋" w:hAnsi="仿宋" w:eastAsia="仿宋" w:cs="仿宋"/>
          <w:sz w:val="32"/>
          <w:szCs w:val="32"/>
        </w:rPr>
        <w:t>建设从品种保护、育种、养殖进行标准化管理与保护的黑山羊特色养殖基地，保护开发</w:t>
      </w:r>
      <w:r>
        <w:rPr>
          <w:rFonts w:hint="eastAsia" w:ascii="仿宋" w:hAnsi="仿宋" w:eastAsia="仿宋" w:cs="仿宋"/>
          <w:sz w:val="32"/>
          <w:szCs w:val="32"/>
          <w:lang w:val="en-US" w:eastAsia="zh-CN"/>
        </w:rPr>
        <w:t>湾碧</w:t>
      </w:r>
      <w:r>
        <w:rPr>
          <w:rFonts w:hint="eastAsia" w:ascii="仿宋" w:hAnsi="仿宋" w:eastAsia="仿宋" w:cs="仿宋"/>
          <w:sz w:val="32"/>
          <w:szCs w:val="32"/>
        </w:rPr>
        <w:t>优质肉羊品种，提升</w:t>
      </w:r>
      <w:r>
        <w:rPr>
          <w:rFonts w:hint="eastAsia" w:ascii="仿宋" w:hAnsi="仿宋" w:eastAsia="仿宋" w:cs="仿宋"/>
          <w:sz w:val="32"/>
          <w:szCs w:val="32"/>
          <w:lang w:val="en-US" w:eastAsia="zh-CN"/>
        </w:rPr>
        <w:t>湾碧</w:t>
      </w:r>
      <w:r>
        <w:rPr>
          <w:rFonts w:hint="eastAsia" w:ascii="仿宋" w:hAnsi="仿宋" w:eastAsia="仿宋" w:cs="仿宋"/>
          <w:sz w:val="32"/>
          <w:szCs w:val="32"/>
        </w:rPr>
        <w:t>黑山羊品牌价值。</w:t>
      </w: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.发展壮大</w:t>
      </w:r>
      <w:r>
        <w:rPr>
          <w:rFonts w:hint="eastAsia" w:ascii="仿宋" w:hAnsi="仿宋" w:eastAsia="仿宋" w:cs="仿宋"/>
          <w:b/>
          <w:bCs/>
          <w:sz w:val="32"/>
          <w:szCs w:val="32"/>
          <w:lang w:val="en-US" w:eastAsia="zh-CN"/>
        </w:rPr>
        <w:t>少数民族绣品</w:t>
      </w:r>
      <w:r>
        <w:rPr>
          <w:rFonts w:hint="eastAsia" w:ascii="仿宋" w:hAnsi="仿宋" w:eastAsia="仿宋" w:cs="仿宋"/>
          <w:b/>
          <w:bCs/>
          <w:sz w:val="32"/>
          <w:szCs w:val="32"/>
        </w:rPr>
        <w:t>产业。</w:t>
      </w:r>
      <w:r>
        <w:rPr>
          <w:rFonts w:hint="eastAsia" w:ascii="仿宋" w:hAnsi="仿宋" w:eastAsia="仿宋" w:cs="仿宋"/>
          <w:sz w:val="32"/>
          <w:szCs w:val="32"/>
        </w:rPr>
        <w:t>以技能培训为基础，采取“公司+合作社+农户”的运作模式组建刺绣协会和专业合作社，着力搭建</w:t>
      </w:r>
      <w:r>
        <w:rPr>
          <w:rFonts w:hint="eastAsia" w:ascii="仿宋" w:hAnsi="仿宋" w:eastAsia="仿宋" w:cs="仿宋"/>
          <w:sz w:val="32"/>
          <w:szCs w:val="32"/>
          <w:lang w:val="en-US" w:eastAsia="zh-CN"/>
        </w:rPr>
        <w:t>绣品</w:t>
      </w:r>
      <w:r>
        <w:rPr>
          <w:rFonts w:hint="eastAsia" w:ascii="仿宋" w:hAnsi="仿宋" w:eastAsia="仿宋" w:cs="仿宋"/>
          <w:sz w:val="32"/>
          <w:szCs w:val="32"/>
        </w:rPr>
        <w:t>发展平台，大力扶持培养“</w:t>
      </w:r>
      <w:r>
        <w:rPr>
          <w:rFonts w:hint="eastAsia" w:ascii="仿宋" w:hAnsi="仿宋" w:eastAsia="仿宋" w:cs="仿宋"/>
          <w:sz w:val="32"/>
          <w:szCs w:val="32"/>
          <w:lang w:val="en-US" w:eastAsia="zh-CN"/>
        </w:rPr>
        <w:t>绣品</w:t>
      </w:r>
      <w:r>
        <w:rPr>
          <w:rFonts w:hint="eastAsia" w:ascii="仿宋" w:hAnsi="仿宋" w:eastAsia="仿宋" w:cs="仿宋"/>
          <w:sz w:val="32"/>
          <w:szCs w:val="32"/>
        </w:rPr>
        <w:t>巧手”经纪人，提高</w:t>
      </w:r>
      <w:r>
        <w:rPr>
          <w:rFonts w:hint="eastAsia" w:ascii="仿宋" w:hAnsi="仿宋" w:eastAsia="仿宋" w:cs="仿宋"/>
          <w:sz w:val="32"/>
          <w:szCs w:val="32"/>
          <w:lang w:val="en-US" w:eastAsia="zh-CN"/>
        </w:rPr>
        <w:t>绣品</w:t>
      </w:r>
      <w:r>
        <w:rPr>
          <w:rFonts w:hint="eastAsia" w:ascii="仿宋" w:hAnsi="仿宋" w:eastAsia="仿宋" w:cs="仿宋"/>
          <w:sz w:val="32"/>
          <w:szCs w:val="32"/>
        </w:rPr>
        <w:t>产业的市场化运作水平。</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 w:hAnsi="仿宋" w:eastAsia="仿宋" w:cs="仿宋"/>
          <w:sz w:val="32"/>
          <w:szCs w:val="32"/>
        </w:rPr>
      </w:pPr>
      <w:r>
        <w:rPr>
          <w:rFonts w:hint="eastAsia" w:ascii="方正楷体简体" w:hAnsi="方正楷体简体" w:eastAsia="方正楷体简体" w:cs="方正楷体简体"/>
          <w:b/>
          <w:bCs/>
          <w:sz w:val="32"/>
          <w:szCs w:val="32"/>
        </w:rPr>
        <w:t>（四）建立“双绑”利益联结机制推进产业帮扶全覆盖。</w:t>
      </w:r>
      <w:r>
        <w:rPr>
          <w:rFonts w:hint="eastAsia" w:ascii="仿宋" w:hAnsi="仿宋" w:eastAsia="仿宋" w:cs="仿宋"/>
          <w:b/>
          <w:bCs/>
          <w:sz w:val="32"/>
          <w:szCs w:val="32"/>
        </w:rPr>
        <w:t>1.推动农民专业合作社绑定农户发展。</w:t>
      </w:r>
      <w:r>
        <w:rPr>
          <w:rFonts w:hint="eastAsia" w:ascii="仿宋" w:hAnsi="仿宋" w:eastAsia="仿宋" w:cs="仿宋"/>
          <w:sz w:val="32"/>
          <w:szCs w:val="32"/>
        </w:rPr>
        <w:t>因地制宜在行政村或村民小组培育发展运营管理规范的农民专业合作社，组织引导农户以自有资金、土地经营权等作为资本加入合作社成为社员，合作社为农户提供农资供应、物流运输等社会化服务，农户以订单收购、土地流转、就业务工等方式与合作社建立合作关系，获得产品销售、就业务工、土地流转等收入，按照章程参与合作社盈余分配，实现绑定发展。到2024年，每个行政村至少培育建立1个管理民主、规范运行、带动能力强的农民合作社绑定农户发展产业，全</w:t>
      </w:r>
      <w:r>
        <w:rPr>
          <w:rFonts w:hint="eastAsia" w:ascii="仿宋" w:hAnsi="仿宋" w:eastAsia="仿宋" w:cs="仿宋"/>
          <w:sz w:val="32"/>
          <w:szCs w:val="32"/>
          <w:lang w:val="en-US" w:eastAsia="zh-CN"/>
        </w:rPr>
        <w:t>乡</w:t>
      </w:r>
      <w:r>
        <w:rPr>
          <w:rFonts w:hint="eastAsia" w:ascii="仿宋" w:hAnsi="仿宋" w:eastAsia="仿宋" w:cs="仿宋"/>
          <w:sz w:val="32"/>
          <w:szCs w:val="32"/>
        </w:rPr>
        <w:t>培育州级示范社</w:t>
      </w:r>
      <w:r>
        <w:rPr>
          <w:rFonts w:hint="eastAsia" w:ascii="仿宋" w:hAnsi="仿宋" w:eastAsia="仿宋" w:cs="仿宋"/>
          <w:sz w:val="32"/>
          <w:szCs w:val="32"/>
          <w:lang w:val="en-US" w:eastAsia="zh-CN"/>
        </w:rPr>
        <w:t>1</w:t>
      </w:r>
      <w:r>
        <w:rPr>
          <w:rFonts w:hint="eastAsia" w:ascii="仿宋" w:hAnsi="仿宋" w:eastAsia="仿宋" w:cs="仿宋"/>
          <w:sz w:val="32"/>
          <w:szCs w:val="32"/>
        </w:rPr>
        <w:t>个、县级示范社</w:t>
      </w:r>
      <w:r>
        <w:rPr>
          <w:rFonts w:hint="eastAsia" w:ascii="仿宋" w:hAnsi="仿宋" w:eastAsia="仿宋" w:cs="仿宋"/>
          <w:sz w:val="32"/>
          <w:szCs w:val="32"/>
          <w:lang w:val="en-US" w:eastAsia="zh-CN"/>
        </w:rPr>
        <w:t>4</w:t>
      </w:r>
      <w:r>
        <w:rPr>
          <w:rFonts w:hint="eastAsia" w:ascii="仿宋" w:hAnsi="仿宋" w:eastAsia="仿宋" w:cs="仿宋"/>
          <w:sz w:val="32"/>
          <w:szCs w:val="32"/>
        </w:rPr>
        <w:t>个，新发展合作社</w:t>
      </w:r>
      <w:r>
        <w:rPr>
          <w:rFonts w:hint="eastAsia" w:ascii="仿宋" w:hAnsi="仿宋" w:eastAsia="仿宋" w:cs="仿宋"/>
          <w:sz w:val="32"/>
          <w:szCs w:val="32"/>
          <w:lang w:val="en-US" w:eastAsia="zh-CN"/>
        </w:rPr>
        <w:t>30</w:t>
      </w:r>
      <w:r>
        <w:rPr>
          <w:rFonts w:hint="eastAsia" w:ascii="仿宋" w:hAnsi="仿宋" w:eastAsia="仿宋" w:cs="仿宋"/>
          <w:sz w:val="32"/>
          <w:szCs w:val="32"/>
        </w:rPr>
        <w:t>个，有产业发展条件或就近就业需求的脱贫户、易返贫致贫户入社率达100%。</w:t>
      </w:r>
      <w:r>
        <w:rPr>
          <w:rFonts w:hint="eastAsia" w:ascii="仿宋" w:hAnsi="仿宋" w:eastAsia="仿宋" w:cs="仿宋"/>
          <w:b/>
          <w:bCs/>
          <w:sz w:val="32"/>
          <w:szCs w:val="32"/>
        </w:rPr>
        <w:t>2.推动龙头企业绑定合作社发展。</w:t>
      </w:r>
      <w:r>
        <w:rPr>
          <w:rFonts w:hint="eastAsia" w:ascii="仿宋" w:hAnsi="仿宋" w:eastAsia="仿宋" w:cs="仿宋"/>
          <w:sz w:val="32"/>
          <w:szCs w:val="32"/>
        </w:rPr>
        <w:t>围绕核桃、花椒、烤烟、水果、特色畜禽养殖等重点产业，培育壮大一批年销售收入1</w:t>
      </w:r>
      <w:r>
        <w:rPr>
          <w:rFonts w:hint="eastAsia" w:ascii="仿宋" w:hAnsi="仿宋" w:eastAsia="仿宋" w:cs="仿宋"/>
          <w:sz w:val="32"/>
          <w:szCs w:val="32"/>
          <w:lang w:val="en-US" w:eastAsia="zh-CN"/>
        </w:rPr>
        <w:t>百</w:t>
      </w:r>
      <w:r>
        <w:rPr>
          <w:rFonts w:hint="eastAsia" w:ascii="仿宋" w:hAnsi="仿宋" w:eastAsia="仿宋" w:cs="仿宋"/>
          <w:sz w:val="32"/>
          <w:szCs w:val="32"/>
        </w:rPr>
        <w:t>万元以上、5</w:t>
      </w:r>
      <w:r>
        <w:rPr>
          <w:rFonts w:hint="eastAsia" w:ascii="仿宋" w:hAnsi="仿宋" w:eastAsia="仿宋" w:cs="仿宋"/>
          <w:sz w:val="32"/>
          <w:szCs w:val="32"/>
          <w:lang w:val="en-US" w:eastAsia="zh-CN"/>
        </w:rPr>
        <w:t>百</w:t>
      </w:r>
      <w:r>
        <w:rPr>
          <w:rFonts w:hint="eastAsia" w:ascii="仿宋" w:hAnsi="仿宋" w:eastAsia="仿宋" w:cs="仿宋"/>
          <w:sz w:val="32"/>
          <w:szCs w:val="32"/>
        </w:rPr>
        <w:t>万元以上和1</w:t>
      </w:r>
      <w:r>
        <w:rPr>
          <w:rFonts w:hint="eastAsia" w:ascii="仿宋" w:hAnsi="仿宋" w:eastAsia="仿宋" w:cs="仿宋"/>
          <w:sz w:val="32"/>
          <w:szCs w:val="32"/>
          <w:lang w:val="en-US" w:eastAsia="zh-CN"/>
        </w:rPr>
        <w:t>千万</w:t>
      </w:r>
      <w:r>
        <w:rPr>
          <w:rFonts w:hint="eastAsia" w:ascii="仿宋" w:hAnsi="仿宋" w:eastAsia="仿宋" w:cs="仿宋"/>
          <w:sz w:val="32"/>
          <w:szCs w:val="32"/>
        </w:rPr>
        <w:t>元以上不同梯次的龙头企业。推动龙头企业绑定合作社发展，由龙头企业负责统一提供订单、制定标准、对接市场；农民合作社按龙头企业要求，组织农户生产；农户按农民合作社要求进行生产，获得稳定的农产品出售、土地流转、就业务工等收入。</w:t>
      </w:r>
      <w:r>
        <w:rPr>
          <w:rFonts w:hint="eastAsia" w:ascii="仿宋" w:hAnsi="仿宋" w:eastAsia="仿宋" w:cs="仿宋"/>
          <w:b/>
          <w:bCs/>
          <w:sz w:val="32"/>
          <w:szCs w:val="32"/>
        </w:rPr>
        <w:t>3.发挥好产业项目联农带农促农增收致富。</w:t>
      </w:r>
      <w:r>
        <w:rPr>
          <w:rFonts w:hint="eastAsia" w:ascii="仿宋" w:hAnsi="仿宋" w:eastAsia="仿宋" w:cs="仿宋"/>
          <w:sz w:val="32"/>
          <w:szCs w:val="32"/>
        </w:rPr>
        <w:t>借助实地审核和召开会议时机，向村支两委宣传政策和资金支持方向，重点用于支持农业社会化服务组织和特色产业发展，向以工代赈工程、劳动密集型企业、解决就业岗位多的项目予以倾斜，提高项目申报的针对性。积极加强金融支持。鼓励和支持依靠创业实现就业，组织实施到户类产业帮扶就业项目，对全</w:t>
      </w:r>
      <w:r>
        <w:rPr>
          <w:rFonts w:hint="eastAsia" w:ascii="仿宋" w:hAnsi="仿宋" w:eastAsia="仿宋" w:cs="仿宋"/>
          <w:sz w:val="32"/>
          <w:szCs w:val="32"/>
          <w:lang w:val="en-US" w:eastAsia="zh-CN"/>
        </w:rPr>
        <w:t>乡</w:t>
      </w:r>
      <w:r>
        <w:rPr>
          <w:rFonts w:hint="eastAsia" w:ascii="仿宋" w:hAnsi="仿宋" w:eastAsia="仿宋" w:cs="仿宋"/>
          <w:sz w:val="32"/>
          <w:szCs w:val="32"/>
        </w:rPr>
        <w:t>所有脱贫人口和监测对象开展贷款需求摸底，做到符合条件且有贷款意愿的脱贫人口和监测对象的贷款需求均得到满足，真正做到“应贷尽贷”，且巩固拓展脱贫攻坚成果同乡村振兴有效衔接5年过渡期内继续给予脱贫人口小额信贷全额贴息。</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 w:hAnsi="仿宋" w:eastAsia="仿宋" w:cs="仿宋"/>
          <w:sz w:val="32"/>
          <w:szCs w:val="32"/>
        </w:rPr>
      </w:pPr>
      <w:r>
        <w:rPr>
          <w:rFonts w:hint="eastAsia" w:ascii="方正楷体简体" w:hAnsi="方正楷体简体" w:eastAsia="方正楷体简体" w:cs="方正楷体简体"/>
          <w:b/>
          <w:bCs/>
          <w:sz w:val="32"/>
          <w:szCs w:val="32"/>
        </w:rPr>
        <w:t>（五）抓实集体经济强村工程。</w:t>
      </w:r>
      <w:r>
        <w:rPr>
          <w:rFonts w:hint="eastAsia" w:ascii="仿宋" w:hAnsi="仿宋" w:eastAsia="仿宋" w:cs="仿宋"/>
          <w:sz w:val="32"/>
          <w:szCs w:val="32"/>
        </w:rPr>
        <w:t>按照“一村一策，循序渐进”的发展思路，找准符合本地发展实际的村级集体经济发展方向和路子，做到“宜农则农、宜工则工、宜商则商”。强化分析研判，因地制宜、因村施策，整合资金资源，通过就地盘活一批、项目带动一批、示范引领一批、服务创收一批，加强风险防控、政策引导、财务监督等，推动</w:t>
      </w:r>
      <w:r>
        <w:rPr>
          <w:rFonts w:hint="eastAsia" w:ascii="仿宋" w:hAnsi="仿宋" w:eastAsia="仿宋" w:cs="仿宋"/>
          <w:sz w:val="32"/>
          <w:szCs w:val="32"/>
          <w:lang w:val="en-US" w:eastAsia="zh-CN"/>
        </w:rPr>
        <w:t>12</w:t>
      </w:r>
      <w:r>
        <w:rPr>
          <w:rFonts w:hint="eastAsia" w:ascii="仿宋" w:hAnsi="仿宋" w:eastAsia="仿宋" w:cs="仿宋"/>
          <w:sz w:val="32"/>
          <w:szCs w:val="32"/>
        </w:rPr>
        <w:t>个村（社区）稳定增收，不断增强全</w:t>
      </w:r>
      <w:r>
        <w:rPr>
          <w:rFonts w:hint="eastAsia" w:ascii="仿宋" w:hAnsi="仿宋" w:eastAsia="仿宋" w:cs="仿宋"/>
          <w:sz w:val="32"/>
          <w:szCs w:val="32"/>
          <w:lang w:val="en-US" w:eastAsia="zh-CN"/>
        </w:rPr>
        <w:t>乡</w:t>
      </w:r>
      <w:r>
        <w:rPr>
          <w:rFonts w:hint="eastAsia" w:ascii="仿宋" w:hAnsi="仿宋" w:eastAsia="仿宋" w:cs="仿宋"/>
          <w:sz w:val="32"/>
          <w:szCs w:val="32"/>
        </w:rPr>
        <w:t>村级集体经济可持续发展能力。到2023年末，全</w:t>
      </w:r>
      <w:r>
        <w:rPr>
          <w:rFonts w:hint="eastAsia" w:ascii="仿宋" w:hAnsi="仿宋" w:eastAsia="仿宋" w:cs="仿宋"/>
          <w:sz w:val="32"/>
          <w:szCs w:val="32"/>
          <w:lang w:val="en-US" w:eastAsia="zh-CN"/>
        </w:rPr>
        <w:t>乡</w:t>
      </w:r>
      <w:r>
        <w:rPr>
          <w:rFonts w:hint="eastAsia" w:ascii="仿宋" w:hAnsi="仿宋" w:eastAsia="仿宋" w:cs="仿宋"/>
          <w:sz w:val="32"/>
          <w:szCs w:val="32"/>
        </w:rPr>
        <w:t>所有行政村村级集体经营性收入达到5万元以上，且平均达到10万元以上。建立健全村集体资产管理制度和收益分配机制，进一步探索建立具有可操作性的村级集体经济收益分配管理办法，村集体经济收入重点用于加强脱贫人口、农村低收入人口基本生活保障，带动村域经济社会持续健康发展。</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 w:hAnsi="仿宋" w:eastAsia="仿宋" w:cs="仿宋"/>
          <w:sz w:val="32"/>
          <w:szCs w:val="32"/>
        </w:rPr>
      </w:pPr>
      <w:r>
        <w:rPr>
          <w:rFonts w:hint="eastAsia" w:ascii="方正楷体简体" w:hAnsi="方正楷体简体" w:eastAsia="方正楷体简体" w:cs="方正楷体简体"/>
          <w:b/>
          <w:bCs/>
          <w:sz w:val="32"/>
          <w:szCs w:val="32"/>
        </w:rPr>
        <w:t>（六）大力实施消费帮扶促增收。</w:t>
      </w:r>
      <w:r>
        <w:rPr>
          <w:rFonts w:hint="eastAsia" w:ascii="仿宋" w:hAnsi="仿宋" w:eastAsia="仿宋" w:cs="仿宋"/>
          <w:sz w:val="32"/>
          <w:szCs w:val="32"/>
        </w:rPr>
        <w:t>继续推进帮扶力量采购脱贫户和易返贫致贫户农副产品，积极为帮扶对象产品进行代言，每年每人落实消费帮扶金额不少于1000元，工会通过大姚国资工惠购商城平台购买脱贫乡村农副产品不少于2次用于发放工会会员法定节日慰问品。积极推进东部协作地区持续开展消费帮扶产销对接行动，争取在东部大型农产品批发市场、超市、商场开设帮扶产品销售专区，引导东部结对地区机关、学校、医院、企事业单位与我</w:t>
      </w:r>
      <w:r>
        <w:rPr>
          <w:rFonts w:hint="eastAsia" w:ascii="仿宋" w:hAnsi="仿宋" w:eastAsia="仿宋" w:cs="仿宋"/>
          <w:sz w:val="32"/>
          <w:szCs w:val="32"/>
          <w:lang w:val="en-US" w:eastAsia="zh-CN"/>
        </w:rPr>
        <w:t>乡</w:t>
      </w:r>
      <w:r>
        <w:rPr>
          <w:rFonts w:hint="eastAsia" w:ascii="仿宋" w:hAnsi="仿宋" w:eastAsia="仿宋" w:cs="仿宋"/>
          <w:sz w:val="32"/>
          <w:szCs w:val="32"/>
        </w:rPr>
        <w:t>建立定向采购合作机制。实施“万企兴万村”行动，引导民营企业等通过“中国农民丰收节”、消费帮扶展销会等线上线下集中采购消费帮扶重点产品。动员金融机构、各类商超、电商平台等创新会员激励机制，探索通过“积分换购”“满赠满减”等方式引导社会力量持续扩大脱贫地区产品和服务消费。鼓励社会大众通过“一部手机云品荟”“供销e家”等参与采购脱贫地区农副产品。充分发挥已建成的城乡农村电商网点和平台作用，强化乡村</w:t>
      </w:r>
      <w:r>
        <w:rPr>
          <w:rFonts w:hint="eastAsia" w:ascii="仿宋" w:hAnsi="仿宋" w:eastAsia="仿宋" w:cs="仿宋"/>
          <w:sz w:val="32"/>
          <w:szCs w:val="32"/>
          <w:lang w:val="en-US" w:eastAsia="zh-CN"/>
        </w:rPr>
        <w:t>两</w:t>
      </w:r>
      <w:r>
        <w:rPr>
          <w:rFonts w:hint="eastAsia" w:ascii="仿宋" w:hAnsi="仿宋" w:eastAsia="仿宋" w:cs="仿宋"/>
          <w:sz w:val="32"/>
          <w:szCs w:val="32"/>
        </w:rPr>
        <w:t>级物流网络建设，加快完善农副产品供应链体系。支持邮政企业、快递企业网点下沉，加快推进“邮快合作”快递进村工程，推动村级寄递物流综合服务站点建设，积极推广共享运营。</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 w:hAnsi="仿宋" w:eastAsia="仿宋" w:cs="仿宋"/>
          <w:sz w:val="32"/>
          <w:szCs w:val="32"/>
        </w:rPr>
      </w:pPr>
      <w:r>
        <w:rPr>
          <w:rFonts w:hint="eastAsia" w:ascii="方正楷体简体" w:hAnsi="方正楷体简体" w:eastAsia="方正楷体简体" w:cs="方正楷体简体"/>
          <w:b/>
          <w:bCs/>
          <w:sz w:val="32"/>
          <w:szCs w:val="32"/>
        </w:rPr>
        <w:t>（七）培育致富带头人带动产业发展。</w:t>
      </w:r>
      <w:r>
        <w:rPr>
          <w:rFonts w:hint="eastAsia" w:ascii="仿宋" w:hAnsi="仿宋" w:eastAsia="仿宋" w:cs="仿宋"/>
          <w:sz w:val="32"/>
          <w:szCs w:val="32"/>
        </w:rPr>
        <w:t>健全完善致富带头人选拔、培训、培育、考核、奖惩等管理制度，有序引导大学生到村、能人回村、农民工返村，把引进人才作为落实乡村人才振兴和“万企帮万村”结对帮扶的重要内容，拓宽人才引入渠道，搭建干事创业平台，提高服务保障水平，从政策、资金、项目上给致富带头人予以必要的支持，鼓励、支持他们带头增收致富，进而带领、带动脱贫人口发展致富。2023年，每个脱贫村至少培育3户以上的致富带头人。</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三、保障措施</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 w:hAnsi="仿宋" w:eastAsia="仿宋" w:cs="仿宋"/>
          <w:sz w:val="32"/>
          <w:szCs w:val="32"/>
        </w:rPr>
      </w:pPr>
      <w:r>
        <w:rPr>
          <w:rFonts w:hint="eastAsia" w:ascii="方正楷体简体" w:hAnsi="方正楷体简体" w:eastAsia="方正楷体简体" w:cs="方正楷体简体"/>
          <w:b/>
          <w:bCs/>
          <w:sz w:val="32"/>
          <w:szCs w:val="32"/>
        </w:rPr>
        <w:t>（一）加强组织领导。</w:t>
      </w:r>
      <w:r>
        <w:rPr>
          <w:rFonts w:hint="eastAsia" w:ascii="仿宋" w:hAnsi="仿宋" w:eastAsia="仿宋" w:cs="仿宋"/>
          <w:sz w:val="32"/>
          <w:szCs w:val="32"/>
        </w:rPr>
        <w:t>按照中央统筹、省负总责、县乡抓落实的工作体制，健全县、乡、村三级书记抓产业发展工作责任体系，明确党委和政府主要负责人为产业发展的第一责任人，主要精力放到服务产业发展工作上。继续推行扁平化网格管理机制，进一步调整优化乡级战线、村级驻村工作队的指挥调度体系，构建责任清晰、各司其职、各负其责、执行有力的产业发展领导体制，层层压实责任。</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 w:hAnsi="仿宋" w:eastAsia="仿宋" w:cs="仿宋"/>
          <w:sz w:val="32"/>
          <w:szCs w:val="32"/>
        </w:rPr>
      </w:pPr>
      <w:r>
        <w:rPr>
          <w:rFonts w:hint="eastAsia" w:ascii="方正楷体简体" w:hAnsi="方正楷体简体" w:eastAsia="方正楷体简体" w:cs="方正楷体简体"/>
          <w:b/>
          <w:bCs/>
          <w:sz w:val="32"/>
          <w:szCs w:val="32"/>
        </w:rPr>
        <w:t>（二）形成工作合力。</w:t>
      </w:r>
      <w:r>
        <w:rPr>
          <w:rFonts w:hint="eastAsia" w:ascii="仿宋" w:hAnsi="仿宋" w:eastAsia="仿宋" w:cs="仿宋"/>
          <w:sz w:val="32"/>
          <w:szCs w:val="32"/>
          <w:lang w:val="en-US" w:eastAsia="zh-CN"/>
        </w:rPr>
        <w:t>乡级</w:t>
      </w:r>
      <w:r>
        <w:rPr>
          <w:rFonts w:hint="eastAsia" w:ascii="仿宋" w:hAnsi="仿宋" w:eastAsia="仿宋" w:cs="仿宋"/>
          <w:sz w:val="32"/>
          <w:szCs w:val="32"/>
        </w:rPr>
        <w:t>行业部门切实担负起行业部门责任，抓好各自领域的政策落实、工作落实。各</w:t>
      </w:r>
      <w:r>
        <w:rPr>
          <w:rFonts w:hint="eastAsia" w:ascii="仿宋" w:hAnsi="仿宋" w:eastAsia="仿宋" w:cs="仿宋"/>
          <w:sz w:val="32"/>
          <w:szCs w:val="32"/>
          <w:lang w:val="en-US" w:eastAsia="zh-CN"/>
        </w:rPr>
        <w:t>行业</w:t>
      </w:r>
      <w:r>
        <w:rPr>
          <w:rFonts w:hint="eastAsia" w:ascii="仿宋" w:hAnsi="仿宋" w:eastAsia="仿宋" w:cs="仿宋"/>
          <w:sz w:val="32"/>
          <w:szCs w:val="32"/>
        </w:rPr>
        <w:t>部门间要齐心协力、相互配合，提供业务指导，帮助</w:t>
      </w:r>
      <w:r>
        <w:rPr>
          <w:rFonts w:hint="eastAsia" w:ascii="仿宋" w:hAnsi="仿宋" w:eastAsia="仿宋" w:cs="仿宋"/>
          <w:sz w:val="32"/>
          <w:szCs w:val="32"/>
          <w:lang w:val="en-US" w:eastAsia="zh-CN"/>
        </w:rPr>
        <w:t>村（社区）</w:t>
      </w:r>
      <w:r>
        <w:rPr>
          <w:rFonts w:hint="eastAsia" w:ascii="仿宋" w:hAnsi="仿宋" w:eastAsia="仿宋" w:cs="仿宋"/>
          <w:sz w:val="32"/>
          <w:szCs w:val="32"/>
        </w:rPr>
        <w:t>干部熟练掌握产业发展工作内容，共同推动工作落实。</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 w:hAnsi="仿宋" w:eastAsia="仿宋" w:cs="仿宋"/>
          <w:sz w:val="32"/>
          <w:szCs w:val="32"/>
        </w:rPr>
      </w:pPr>
      <w:r>
        <w:rPr>
          <w:rFonts w:hint="eastAsia" w:ascii="方正楷体简体" w:hAnsi="方正楷体简体" w:eastAsia="方正楷体简体" w:cs="方正楷体简体"/>
          <w:b/>
          <w:bCs/>
          <w:sz w:val="32"/>
          <w:szCs w:val="32"/>
        </w:rPr>
        <w:t>（三）加强考核监督。</w:t>
      </w:r>
      <w:r>
        <w:rPr>
          <w:rFonts w:hint="eastAsia" w:ascii="仿宋" w:hAnsi="仿宋" w:eastAsia="仿宋" w:cs="仿宋"/>
          <w:sz w:val="32"/>
          <w:szCs w:val="32"/>
        </w:rPr>
        <w:t>将产业发展增收工作成效纳入</w:t>
      </w:r>
      <w:r>
        <w:rPr>
          <w:rFonts w:hint="eastAsia" w:ascii="仿宋" w:hAnsi="仿宋" w:eastAsia="仿宋" w:cs="仿宋"/>
          <w:sz w:val="32"/>
          <w:szCs w:val="32"/>
          <w:lang w:val="en-US" w:eastAsia="zh-CN"/>
        </w:rPr>
        <w:t>乡</w:t>
      </w:r>
      <w:r>
        <w:rPr>
          <w:rFonts w:hint="eastAsia" w:ascii="仿宋" w:hAnsi="仿宋" w:eastAsia="仿宋" w:cs="仿宋"/>
          <w:sz w:val="32"/>
          <w:szCs w:val="32"/>
        </w:rPr>
        <w:t>对</w:t>
      </w:r>
      <w:r>
        <w:rPr>
          <w:rFonts w:hint="eastAsia" w:ascii="仿宋" w:hAnsi="仿宋" w:eastAsia="仿宋" w:cs="仿宋"/>
          <w:sz w:val="32"/>
          <w:szCs w:val="32"/>
          <w:lang w:val="en-US" w:eastAsia="zh-CN"/>
        </w:rPr>
        <w:t>村（社区）</w:t>
      </w:r>
      <w:r>
        <w:rPr>
          <w:rFonts w:hint="eastAsia" w:ascii="仿宋" w:hAnsi="仿宋" w:eastAsia="仿宋" w:cs="仿宋"/>
          <w:sz w:val="32"/>
          <w:szCs w:val="32"/>
        </w:rPr>
        <w:t>领导班子和领导干部乡村振兴实绩考核，纳入</w:t>
      </w:r>
      <w:r>
        <w:rPr>
          <w:rFonts w:hint="eastAsia" w:ascii="仿宋" w:hAnsi="仿宋" w:eastAsia="仿宋" w:cs="仿宋"/>
          <w:sz w:val="32"/>
          <w:szCs w:val="32"/>
          <w:lang w:val="en-US" w:eastAsia="zh-CN"/>
        </w:rPr>
        <w:t>乡级各行业部门考核</w:t>
      </w:r>
      <w:r>
        <w:rPr>
          <w:rFonts w:hint="eastAsia" w:ascii="仿宋" w:hAnsi="仿宋" w:eastAsia="仿宋" w:cs="仿宋"/>
          <w:sz w:val="32"/>
          <w:szCs w:val="32"/>
        </w:rPr>
        <w:t>，提高考核权重，切实加强考核结果运用；纳入驻村工作队和队员考核，作为评先评优重要依据；纳入衔接资金绩效评价考核，对绩效评价考核好的单位给予资金奖励。坚持过程考核和年终考核相结合，定期分析和调度工作进展情况，对工作推进情况较好、成效明显的给予通报表扬，对责任不落实、工作推动不力、成效不明显的给予通报批评、约谈。</w:t>
      </w:r>
    </w:p>
    <w:sectPr>
      <w:footerReference r:id="rId5" w:type="default"/>
      <w:pgSz w:w="11906" w:h="16838"/>
      <w:pgMar w:top="1440" w:right="1800" w:bottom="1440" w:left="1800" w:header="708" w:footer="708"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altName w:val="微软雅黑"/>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 xml:space="preserve">— </w:t>
                          </w: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1</w:t>
                          </w:r>
                          <w:r>
                            <w:rPr>
                              <w:rFonts w:hint="eastAsia" w:asciiTheme="minorEastAsia" w:hAnsiTheme="minorEastAsia" w:eastAsiaTheme="minorEastAsia" w:cstheme="minorEastAsia"/>
                              <w:sz w:val="32"/>
                              <w:szCs w:val="32"/>
                              <w:lang w:eastAsia="zh-CN"/>
                            </w:rPr>
                            <w:fldChar w:fldCharType="end"/>
                          </w:r>
                          <w:r>
                            <w:rPr>
                              <w:rFonts w:hint="eastAsia" w:asciiTheme="minorEastAsia" w:hAnsiTheme="minorEastAsia" w:eastAsiaTheme="minorEastAsia" w:cstheme="minorEastAsia"/>
                              <w:sz w:val="32"/>
                              <w:szCs w:val="32"/>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 xml:space="preserve">— </w:t>
                    </w: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1</w:t>
                    </w:r>
                    <w:r>
                      <w:rPr>
                        <w:rFonts w:hint="eastAsia" w:asciiTheme="minorEastAsia" w:hAnsiTheme="minorEastAsia" w:eastAsiaTheme="minorEastAsia" w:cstheme="minorEastAsia"/>
                        <w:sz w:val="32"/>
                        <w:szCs w:val="32"/>
                        <w:lang w:eastAsia="zh-CN"/>
                      </w:rPr>
                      <w:fldChar w:fldCharType="end"/>
                    </w:r>
                    <w:r>
                      <w:rPr>
                        <w:rFonts w:hint="eastAsia" w:asciiTheme="minorEastAsia" w:hAnsiTheme="minorEastAsia" w:eastAsiaTheme="minorEastAsia" w:cstheme="minorEastAsia"/>
                        <w:sz w:val="32"/>
                        <w:szCs w:val="32"/>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2YTU2Y2FkMTlkNTRmYjU5YWY5ZDA0NTU3MzllZDMifQ=="/>
  </w:docVars>
  <w:rsids>
    <w:rsidRoot w:val="00D31D50"/>
    <w:rsid w:val="00323B43"/>
    <w:rsid w:val="003D37D8"/>
    <w:rsid w:val="00426133"/>
    <w:rsid w:val="004358AB"/>
    <w:rsid w:val="008B7726"/>
    <w:rsid w:val="00D31D50"/>
    <w:rsid w:val="0CA03922"/>
    <w:rsid w:val="13ED02A7"/>
    <w:rsid w:val="28902CE3"/>
    <w:rsid w:val="311F069D"/>
    <w:rsid w:val="3B887AD3"/>
    <w:rsid w:val="46477B80"/>
    <w:rsid w:val="5AC126F1"/>
    <w:rsid w:val="70C37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autoRedefine/>
    <w:unhideWhenUsed/>
    <w:qFormat/>
    <w:uiPriority w:val="0"/>
    <w:pPr>
      <w:keepNext/>
      <w:keepLines/>
      <w:spacing w:line="560" w:lineRule="exact"/>
      <w:ind w:firstLine="640"/>
      <w:outlineLvl w:val="1"/>
    </w:pPr>
    <w:rPr>
      <w:rFonts w:eastAsia="黑体"/>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将暮</cp:lastModifiedBy>
  <dcterms:modified xsi:type="dcterms:W3CDTF">2024-02-19T03:05:07Z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5BF2A550401946CFB0C42B42D7D4E583_12</vt:lpwstr>
  </property>
</Properties>
</file>