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vanish/>
          <w:kern w:val="0"/>
          <w:sz w:val="24"/>
          <w:szCs w:val="24"/>
        </w:rPr>
      </w:pPr>
      <w:r>
        <w:rPr>
          <w:rFonts w:hint="eastAsia" w:ascii="宋体" w:hAnsi="宋体" w:eastAsia="宋体" w:cs="宋体"/>
          <w:vanish/>
          <w:kern w:val="0"/>
          <w:sz w:val="24"/>
          <w:szCs w:val="24"/>
        </w:rPr>
        <w:t xml:space="preserve"> </w:t>
      </w:r>
    </w:p>
    <w:tbl>
      <w:tblPr>
        <w:tblStyle w:val="10"/>
        <w:tblW w:w="1320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644"/>
        <w:gridCol w:w="513"/>
        <w:gridCol w:w="4651"/>
        <w:gridCol w:w="1627"/>
        <w:gridCol w:w="682"/>
        <w:gridCol w:w="682"/>
        <w:gridCol w:w="682"/>
        <w:gridCol w:w="522"/>
        <w:gridCol w:w="522"/>
        <w:gridCol w:w="522"/>
        <w:gridCol w:w="522"/>
        <w:gridCol w:w="522"/>
        <w:gridCol w:w="5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55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 w:val="0"/>
                <w:bdr w:val="none" w:color="auto" w:sz="0" w:space="0"/>
              </w:rPr>
              <w:t>桂花镇财政预决算领域基层政务公开标准目录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5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 w:val="0"/>
                <w:bdr w:val="none" w:color="auto" w:sz="0" w:space="0"/>
              </w:rPr>
              <w:t>序号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 w:val="0"/>
                <w:bdr w:val="none" w:color="auto" w:sz="0" w:space="0"/>
              </w:rPr>
              <w:t>公开事项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 w:val="0"/>
                <w:bdr w:val="none" w:color="auto" w:sz="0" w:space="0"/>
              </w:rPr>
              <w:t>公开内容（要素）及要求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 w:val="0"/>
                <w:bdr w:val="none" w:color="auto" w:sz="0" w:space="0"/>
              </w:rPr>
              <w:t>公开依据</w:t>
            </w:r>
          </w:p>
        </w:tc>
        <w:tc>
          <w:tcPr>
            <w:tcW w:w="8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 w:val="0"/>
                <w:bdr w:val="none" w:color="auto" w:sz="0" w:space="0"/>
              </w:rPr>
              <w:t>公开时限</w:t>
            </w:r>
          </w:p>
        </w:tc>
        <w:tc>
          <w:tcPr>
            <w:tcW w:w="8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 w:val="0"/>
                <w:bdr w:val="none" w:color="auto" w:sz="0" w:space="0"/>
              </w:rPr>
              <w:t>公开主体</w:t>
            </w:r>
          </w:p>
        </w:tc>
        <w:tc>
          <w:tcPr>
            <w:tcW w:w="8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 w:val="0"/>
                <w:bdr w:val="none" w:color="auto" w:sz="0" w:space="0"/>
              </w:rPr>
              <w:t>公开渠道和载体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 w:val="0"/>
                <w:bdr w:val="none" w:color="auto" w:sz="0" w:space="0"/>
              </w:rPr>
              <w:t>公开对象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 w:val="0"/>
                <w:bdr w:val="none" w:color="auto" w:sz="0" w:space="0"/>
              </w:rPr>
              <w:t>公开方式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 w:val="0"/>
                <w:bdr w:val="none" w:color="auto" w:sz="0" w:space="0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58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 w:val="0"/>
                <w:bdr w:val="none" w:color="auto" w:sz="0" w:space="0"/>
              </w:rPr>
              <w:t>一级</w:t>
            </w:r>
          </w:p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 w:val="0"/>
                <w:bdr w:val="none" w:color="auto" w:sz="0" w:space="0"/>
              </w:rPr>
              <w:t>事项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 w:val="0"/>
                <w:bdr w:val="none" w:color="auto" w:sz="0" w:space="0"/>
              </w:rPr>
              <w:t>二级</w:t>
            </w:r>
          </w:p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 w:val="0"/>
                <w:bdr w:val="none" w:color="auto" w:sz="0" w:space="0"/>
              </w:rPr>
              <w:t>事项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 w:val="0"/>
                <w:bdr w:val="none" w:color="auto" w:sz="0" w:space="0"/>
              </w:rPr>
              <w:t>全社会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 w:val="0"/>
                <w:bdr w:val="none" w:color="auto" w:sz="0" w:space="0"/>
              </w:rPr>
              <w:t>特定</w:t>
            </w:r>
          </w:p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 w:val="0"/>
                <w:bdr w:val="none" w:color="auto" w:sz="0" w:space="0"/>
              </w:rPr>
              <w:t>群体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 w:val="0"/>
                <w:bdr w:val="none" w:color="auto" w:sz="0" w:space="0"/>
              </w:rPr>
              <w:t>主动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 w:val="0"/>
                <w:bdr w:val="none" w:color="auto" w:sz="0" w:space="0"/>
              </w:rPr>
              <w:t>依申请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 w:val="0"/>
                <w:bdr w:val="none" w:color="auto" w:sz="0" w:space="0"/>
              </w:rPr>
              <w:t>县级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 w:val="0"/>
                <w:bdr w:val="none" w:color="auto" w:sz="0" w:space="0"/>
              </w:rPr>
              <w:t>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020" w:hRule="atLeast"/>
        </w:trPr>
        <w:tc>
          <w:tcPr>
            <w:tcW w:w="5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财政预</w:t>
            </w:r>
          </w:p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决算</w:t>
            </w:r>
          </w:p>
        </w:tc>
        <w:tc>
          <w:tcPr>
            <w:tcW w:w="5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政府预算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一般公共预算：①一般公共预算收入表。②一般公共预算支出表。③一般公共预算本级支出表。④一般公共预算本级基本支出表。⑤一般公共预算税收返还和转移支付表。⑥政府一般债务限额和余额情况表。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《中华人民共和国预算法》、《中华人民共和国政 府信息公开条例》、《财政部关于印发&lt;地方预决算公开操作规程&gt;的通知》（财预〔2016〕143号）、《财政部关于印发&lt;地方政 府债务信息公开办法（试行）&gt;的通知》（财预〔2018〕209号）等法律法规和文件规定</w:t>
            </w:r>
          </w:p>
        </w:tc>
        <w:tc>
          <w:tcPr>
            <w:tcW w:w="8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本级人民代表大会或其常务委员会批准后20日内</w:t>
            </w:r>
          </w:p>
        </w:tc>
        <w:tc>
          <w:tcPr>
            <w:tcW w:w="8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桂花镇人民 政 府</w:t>
            </w:r>
          </w:p>
        </w:tc>
        <w:tc>
          <w:tcPr>
            <w:tcW w:w="8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政 府网站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√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√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8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政 府性基金预算：①政 府性基金收入表。②政 府性基金支出表。③本级政府性基金支出表。④政 府性基金转移支付表。⑤政 府专项债务限额和余额情况表。</w:t>
            </w:r>
          </w:p>
        </w:tc>
        <w:tc>
          <w:tcPr>
            <w:tcW w:w="181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8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国有资本经营预算：①国有资本经营预算收入表。②国有资本经营预算支出表。③本级国有资本经营预算支出表。④对下安排转移支付的应当公开国有资本经营预算转移支付表。</w:t>
            </w:r>
          </w:p>
        </w:tc>
        <w:tc>
          <w:tcPr>
            <w:tcW w:w="181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00" w:hRule="atLeast"/>
        </w:trPr>
        <w:tc>
          <w:tcPr>
            <w:tcW w:w="58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社会保险基金预算：①社会保险基金收入表。②社会保险基金支出表。</w:t>
            </w:r>
          </w:p>
        </w:tc>
        <w:tc>
          <w:tcPr>
            <w:tcW w:w="181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58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地方一般公共预算、政 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181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对财政转移支付安排、举借政 府债务等重要事项进行解释、说明，并公开重大政策和重点项目等绩效目标。</w:t>
            </w:r>
          </w:p>
        </w:tc>
        <w:tc>
          <w:tcPr>
            <w:tcW w:w="181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</w:trPr>
        <w:tc>
          <w:tcPr>
            <w:tcW w:w="58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地方本级汇总的一般公共预算“三公”经费，包括预算总额，以及“因公出国（境）费”“公务用车购置及运行费”（区分“公务用车购置费”“公务用车运行费”两项）、“公务接待费”分项数额，并对增减变化情况进行说明。</w:t>
            </w:r>
          </w:p>
        </w:tc>
        <w:tc>
          <w:tcPr>
            <w:tcW w:w="181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58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地方政 府债务限额、余额、使用安排及还本付息等信息，包括：①随同预算公开上一年度本地区、本级及所属地区地方政 府债务限额及余额（或余额预计执行数），以及本地区和本级上一年度地方政府债券（含再融资债券）发行及还本付息额（或预计执行数）、本年度地方政府债券还本付息预算数等；②随同调整预算公开当年本地区及本级地方政府债务限额、本级新增地方政 府债券资金使用安排等。</w:t>
            </w:r>
          </w:p>
        </w:tc>
        <w:tc>
          <w:tcPr>
            <w:tcW w:w="181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8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没有数据的表格应当列出空表并说明。</w:t>
            </w:r>
          </w:p>
        </w:tc>
        <w:tc>
          <w:tcPr>
            <w:tcW w:w="181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财政预</w:t>
            </w:r>
          </w:p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决算</w:t>
            </w:r>
          </w:p>
        </w:tc>
        <w:tc>
          <w:tcPr>
            <w:tcW w:w="5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政府</w:t>
            </w:r>
          </w:p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决算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一般公共预算：①一般公共预算收入表。②一般公共预算支出表。③一般公共预算本级支出表。④一般公共预算本级基本支出表。⑤一般公共预算税收返还和转移支付表。⑥政 府一般债务限额和余额情况表。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《中华人民共和国预算法》、《中华人民共和国政 府信息公开条例》、《财政部关于印发&lt;地方预决算公开操作规程&gt;的通知》（财预〔2016〕143号）、《财政部关于印发&lt;地方政府债务信息公开办法（试行）&gt;的通知》（财预〔2018〕209号）等法律法规和文件规定</w:t>
            </w:r>
          </w:p>
        </w:tc>
        <w:tc>
          <w:tcPr>
            <w:tcW w:w="8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本级人民代表大会或其常务委员会批准后20日内</w:t>
            </w:r>
          </w:p>
        </w:tc>
        <w:tc>
          <w:tcPr>
            <w:tcW w:w="8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桂花镇人民 政 府</w:t>
            </w:r>
          </w:p>
        </w:tc>
        <w:tc>
          <w:tcPr>
            <w:tcW w:w="8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政 府网站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√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√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8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政 府性基金预算：①政 府性基金收入表。②政 府性基金支出表。③本级政 府性基金支出表。④政 府性基金转移支付表。⑤政 府专项债务限额和余额情况表。</w:t>
            </w:r>
          </w:p>
        </w:tc>
        <w:tc>
          <w:tcPr>
            <w:tcW w:w="181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8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国有资本经营预算：①国有资本经营预算收入表。②国有资本经营预算支出表。③本级国有资本经营预算支出表。④对下安排转移支付的应当公开国有资本经营预算转移支付表。</w:t>
            </w:r>
          </w:p>
        </w:tc>
        <w:tc>
          <w:tcPr>
            <w:tcW w:w="181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社会保险基金预算：①社会保险基金收入表。②社会保险基金支出表。</w:t>
            </w:r>
          </w:p>
        </w:tc>
        <w:tc>
          <w:tcPr>
            <w:tcW w:w="181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58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地方一般公共预算、政 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181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96" w:hRule="atLeast"/>
        </w:trPr>
        <w:tc>
          <w:tcPr>
            <w:tcW w:w="58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对财政转移支付安排、举借政府债务、预算绩效工作开展情况等重要事项进行解释、说明，并公开重大政策和重点项目绩效执行结果。</w:t>
            </w:r>
          </w:p>
        </w:tc>
        <w:tc>
          <w:tcPr>
            <w:tcW w:w="181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8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地方本级汇总的一般公共预算“三公”经费，包括预算总额，以及“因公出国（境）费”“公务用车购置及运行费”（区分“公务用车购置费”“公务用车运行费”两项）“公务接待费”分项数额，并对增减变化情况（与预算对比）进行说明。</w:t>
            </w:r>
          </w:p>
        </w:tc>
        <w:tc>
          <w:tcPr>
            <w:tcW w:w="181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8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地方政府债务限额、余额、使用安排及还本付息等信息，包括：上年末本地区、本级及所属地区地方政 府债务限额、余额决算数，地方政 府债券发行、还本付息决算数，以及债券资金使用安排等。</w:t>
            </w:r>
          </w:p>
        </w:tc>
        <w:tc>
          <w:tcPr>
            <w:tcW w:w="181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58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没有数据的表格应当列出空表并说明。</w:t>
            </w:r>
          </w:p>
        </w:tc>
        <w:tc>
          <w:tcPr>
            <w:tcW w:w="181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财政预</w:t>
            </w:r>
          </w:p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决算</w:t>
            </w:r>
          </w:p>
        </w:tc>
        <w:tc>
          <w:tcPr>
            <w:tcW w:w="5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部门</w:t>
            </w:r>
          </w:p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预算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《中华人民共和国预算法》、《中华人民共和国政 府信息公开条例》、《财政部关于印发&lt;地方预决算公开操作规程&gt;的通知》（财预〔2016〕143号）等法律法规和文件规定</w:t>
            </w:r>
          </w:p>
        </w:tc>
        <w:tc>
          <w:tcPr>
            <w:tcW w:w="8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本级政府财政部门批复后20日内</w:t>
            </w:r>
          </w:p>
        </w:tc>
        <w:tc>
          <w:tcPr>
            <w:tcW w:w="8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桂花镇人民 政 府</w:t>
            </w:r>
          </w:p>
        </w:tc>
        <w:tc>
          <w:tcPr>
            <w:tcW w:w="8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政府网站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√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√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8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财政拨款收支情况表：①财政拨款收支总体情况表。②一般公共预算支出情况表。③一般公共预算基本支出情况表。④一般公共预算“三公”经费支出情况表。⑤政 府性基金预算支出情况表。</w:t>
            </w:r>
          </w:p>
        </w:tc>
        <w:tc>
          <w:tcPr>
            <w:tcW w:w="181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81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8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进行说明。</w:t>
            </w:r>
          </w:p>
        </w:tc>
        <w:tc>
          <w:tcPr>
            <w:tcW w:w="181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8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本部门职责、机构设置情况、预算收支增减变化、机关运行经费安排以及政府采购（主要包括部门政府采购预算总金额和货物、工程、服务采购的预算金额）等情况的说明，并对专业性较强的名词进行解释。结合工作进展情况，逐步公开国有资产占用、重点项目预算的绩效目标等情况。</w:t>
            </w:r>
          </w:p>
        </w:tc>
        <w:tc>
          <w:tcPr>
            <w:tcW w:w="181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58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没有数据的表格应当列出空表并说明。</w:t>
            </w:r>
          </w:p>
        </w:tc>
        <w:tc>
          <w:tcPr>
            <w:tcW w:w="181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财政预</w:t>
            </w:r>
          </w:p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决算</w:t>
            </w:r>
          </w:p>
        </w:tc>
        <w:tc>
          <w:tcPr>
            <w:tcW w:w="5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部门</w:t>
            </w:r>
          </w:p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决算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《中华人民共和国预算法》、《中华人民共和国政 府信息公开条例》、《财政部关于印发&lt;地方预决算公开操作规程&gt;的通知》（财预〔2016〕143号）等法律法规和文件规定</w:t>
            </w:r>
          </w:p>
        </w:tc>
        <w:tc>
          <w:tcPr>
            <w:tcW w:w="8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本级政 府财政部门批复后20日内</w:t>
            </w:r>
          </w:p>
        </w:tc>
        <w:tc>
          <w:tcPr>
            <w:tcW w:w="8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桂花镇 人民政府</w:t>
            </w:r>
          </w:p>
        </w:tc>
        <w:tc>
          <w:tcPr>
            <w:tcW w:w="8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部门网站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√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√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8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财政拨款收支情况表：①财政拨款收支总体情况表。②一般公共预算支出情况表。③一般公共预算基本支出情况表。④一般公共预算“三公”经费支出情况表。⑤政 府性基金预算支出情况表。</w:t>
            </w:r>
          </w:p>
        </w:tc>
        <w:tc>
          <w:tcPr>
            <w:tcW w:w="181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58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81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8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（与预算对比）进行说明。</w:t>
            </w:r>
          </w:p>
        </w:tc>
        <w:tc>
          <w:tcPr>
            <w:tcW w:w="181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58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本部门职责、机构设置情况、决算收支增减变化、机关运行经费安排以及政 府采购（主要包括部门政 府采购支出总金额，货物、工程、服务的采购金额，授予中小企业的合同金额及占政 府采购支出总金额的比重）等情况的说明，并对专业性较强的名词进行解释。结合工作进展情况，逐步公开国有资产占用、绩效评价结果等情况。</w:t>
            </w:r>
          </w:p>
        </w:tc>
        <w:tc>
          <w:tcPr>
            <w:tcW w:w="181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58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没有数据的表格应当列出空表并说明。</w:t>
            </w:r>
          </w:p>
        </w:tc>
        <w:tc>
          <w:tcPr>
            <w:tcW w:w="181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noPunctuationKerning w:val="1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44C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unhideWhenUsed/>
    <w:uiPriority w:val="99"/>
  </w:style>
  <w:style w:type="table" w:default="1" w:styleId="10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2">
    <w:name w:val="HTML 预设格式 Char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3">
    <w:name w:val="10"/>
    <w:basedOn w:val="11"/>
    <w:uiPriority w:val="0"/>
    <w:rPr>
      <w:rFonts w:hint="default" w:ascii="Times New Roman" w:hAnsi="Times New Roman" w:cs="Times New Roman"/>
    </w:rPr>
  </w:style>
  <w:style w:type="paragraph" w:customStyle="1" w:styleId="14">
    <w:name w:val="普通(网站) Char"/>
    <w:basedOn w:val="1"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5">
    <w:name w:val="15"/>
    <w:basedOn w:val="11"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Lines>1</Lines>
  <Paragraphs>1</Paragraphs>
  <TotalTime>0</TotalTime>
  <ScaleCrop>false</ScaleCrop>
  <LinksUpToDate>false</LinksUpToDate>
  <Application>WPS Office_11.8.2.12085_F1E327BC-269C-435d-A152-05C5408002CA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2024-02-25T02:23:08Z</dcterms:created>
  <dc:creator>lenovo</dc:creator>
  <cp:lastModifiedBy>谢昊凌</cp:lastModifiedBy>
  <dcterms:modified xsi:type="dcterms:W3CDTF">2024-02-25T02:23:25Z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8FB00F1DEF1948EBAECF84EA3CAA9574</vt:lpwstr>
  </property>
</Properties>
</file>