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大姚县2023年重大政策和重点项目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2024年大姚县政府预算编制坚持全面贯彻落实党的二十大、中央经济工作会、全国财政工作会等会议精神，坚持稳中求进工作总基调，坚持“依法理财、厉行节约、量力而行、讲求绩效和收支平衡”的原则，按照“保工资、保运转、保39项基本民生、保刚性支出、保政府债券还本付息、保应急、保重点项目”的顺序安排预算，县本级财力在安排“三保”支出、刚性人员支出、偿债支出、预备费以外，安排了预留人员经费7080万元、县级促发展项目133个5898万元，其中重点项目主要有：</w:t>
      </w: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1.2024年灯联网服务资金300万元，主要用于县城区路灯智能化管理及相应电费。</w:t>
      </w: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2.2024年污水处理经费480万元，主要用于城区生活污水处理。</w:t>
      </w: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3.2024年城区绿化养护、保洁、公厕管护等专项资金857万元，主要用于绿化养护、保洁、公厕管护等公共设施维护及相关管理人员支出。</w:t>
      </w: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4.被征地农民养老保障专项资金917.59万元，主要用于清缴2009至2011年被征地农民养老保障专项资金。</w:t>
      </w: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5.2024年殡葬改革补助资金240万元，主要用于按照大政通〔2020〕36 号要求，兑现2023年城乡居民（财政供养人员除外）遗体火化入公墓安葬补助。</w:t>
      </w: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6.殡仪馆骨灰堂建设项目资金100万元，主要用于县殡仪馆骨灰堂内部装修和消防工程建设。</w:t>
      </w: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 工业、商贸流通业、电商稳增长政策奖励资金295万元，主要用于2023年工业、商贸流通业、电商稳增长政策奖励资金。</w:t>
      </w: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 2024年成品油监督管理系统建设资金150万元，主要用于2024年建设成品油监管系统，推动质量强县。</w:t>
      </w: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9.2024年农业保险县级补助资金110.39万元，主要用于2024年政策性农业保险及地方优势农产品（肉牛）保险保费补贴。</w:t>
      </w: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 2024年征地拆迁补偿资金1680万元，主要用于2024年县城区征地拆迁补偿支出。</w:t>
      </w: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具体项目及绩效目标详见《6-1 重大政策和重点项目绩效目标表》</w:t>
      </w: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大姚县财政局</w:t>
      </w:r>
    </w:p>
    <w:p>
      <w:pPr>
        <w:keepNext w:val="0"/>
        <w:keepLines w:val="0"/>
        <w:pageBreakBefore w:val="0"/>
        <w:widowControl w:val="0"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2024年2月7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jFkYzkxMDE1N2M2ZmE4ZjIyMzE3N2I1MDFmZDcifQ=="/>
  </w:docVars>
  <w:rsids>
    <w:rsidRoot w:val="2B4E722C"/>
    <w:rsid w:val="0C4274CE"/>
    <w:rsid w:val="12DA1FE2"/>
    <w:rsid w:val="1FF844E6"/>
    <w:rsid w:val="225418B2"/>
    <w:rsid w:val="234809A7"/>
    <w:rsid w:val="254837BB"/>
    <w:rsid w:val="2A907289"/>
    <w:rsid w:val="2B4E722C"/>
    <w:rsid w:val="354960D5"/>
    <w:rsid w:val="4FE43530"/>
    <w:rsid w:val="5410296F"/>
    <w:rsid w:val="631F4265"/>
    <w:rsid w:val="65BC4B87"/>
    <w:rsid w:val="6DDD3AD6"/>
    <w:rsid w:val="7F6D342A"/>
    <w:rsid w:val="7FAB0D1A"/>
    <w:rsid w:val="7FC5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8"/>
    </w:rPr>
  </w:style>
  <w:style w:type="paragraph" w:customStyle="1" w:styleId="5">
    <w:name w:val="大标题"/>
    <w:basedOn w:val="1"/>
    <w:next w:val="1"/>
    <w:qFormat/>
    <w:uiPriority w:val="0"/>
    <w:pPr>
      <w:ind w:firstLine="0" w:firstLineChars="0"/>
      <w:jc w:val="center"/>
    </w:pPr>
    <w:rPr>
      <w:rFonts w:hint="eastAsia" w:eastAsia="方正小标宋简体"/>
      <w:sz w:val="44"/>
    </w:rPr>
  </w:style>
  <w:style w:type="paragraph" w:customStyle="1" w:styleId="6">
    <w:name w:val="副标题单位"/>
    <w:basedOn w:val="1"/>
    <w:next w:val="1"/>
    <w:qFormat/>
    <w:uiPriority w:val="0"/>
    <w:pPr>
      <w:ind w:firstLine="0" w:firstLineChars="0"/>
      <w:jc w:val="center"/>
    </w:pPr>
    <w:rPr>
      <w:rFonts w:hint="eastAsia" w:eastAsia="楷体"/>
    </w:rPr>
  </w:style>
  <w:style w:type="paragraph" w:customStyle="1" w:styleId="7">
    <w:name w:val="抬头"/>
    <w:basedOn w:val="1"/>
    <w:next w:val="1"/>
    <w:qFormat/>
    <w:uiPriority w:val="0"/>
    <w:pPr>
      <w:ind w:firstLine="0" w:firstLineChars="0"/>
    </w:pPr>
    <w:rPr>
      <w:rFonts w:hint="eastAsia"/>
    </w:rPr>
  </w:style>
  <w:style w:type="paragraph" w:customStyle="1" w:styleId="8">
    <w:name w:val="黑体标题"/>
    <w:basedOn w:val="1"/>
    <w:next w:val="1"/>
    <w:qFormat/>
    <w:uiPriority w:val="0"/>
    <w:rPr>
      <w:rFonts w:hint="eastAsia" w:eastAsia="黑体"/>
    </w:rPr>
  </w:style>
  <w:style w:type="paragraph" w:customStyle="1" w:styleId="9">
    <w:name w:val="楷体标题"/>
    <w:basedOn w:val="1"/>
    <w:next w:val="1"/>
    <w:qFormat/>
    <w:uiPriority w:val="0"/>
    <w:rPr>
      <w:rFonts w:hint="eastAsia" w:eastAsia="楷体"/>
    </w:rPr>
  </w:style>
  <w:style w:type="paragraph" w:customStyle="1" w:styleId="10">
    <w:name w:val="仿宋小标题"/>
    <w:basedOn w:val="1"/>
    <w:next w:val="1"/>
    <w:qFormat/>
    <w:uiPriority w:val="0"/>
    <w:rPr>
      <w:rFonts w:hint="eastAsia"/>
      <w:b/>
      <w:szCs w:val="32"/>
    </w:rPr>
  </w:style>
  <w:style w:type="paragraph" w:customStyle="1" w:styleId="11">
    <w:name w:val="正常文本"/>
    <w:basedOn w:val="1"/>
    <w:next w:val="1"/>
    <w:qFormat/>
    <w:uiPriority w:val="0"/>
    <w:rPr>
      <w:rFonts w:hint="default" w:ascii="Times New Roman" w:hAnsi="Times New Roman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2024-02-04T07:05:00Z</dcterms:created>
  <dc:creator>武丹春</dc:creator>
  <cp:lastModifiedBy>武丹春</cp:lastModifiedBy>
  <dcterms:modified xsi:type="dcterms:W3CDTF">2024-02-19T08:12:26Z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BFBEBDFDCD95488F9E45E0B61A792004_11</vt:lpwstr>
  </property>
</Properties>
</file>