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lang w:val="en-US" w:eastAsia="zh-CN"/>
        </w:rPr>
        <w:t>大姚县工业信息化商务科学技术局</w:t>
      </w:r>
      <w:r>
        <w:rPr>
          <w:rFonts w:hint="eastAsia" w:ascii="方正小标宋简体" w:hAnsi="方正小标宋简体" w:eastAsia="方正小标宋简体" w:cs="方正小标宋简体"/>
          <w:sz w:val="44"/>
          <w:szCs w:val="44"/>
          <w:lang w:val="en-US" w:eastAsia="zh-CN"/>
        </w:rPr>
        <w:t>政府信息公开基本目录</w:t>
      </w:r>
    </w:p>
    <w:tbl>
      <w:tblPr>
        <w:tblStyle w:val="4"/>
        <w:tblW w:w="15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04"/>
        <w:gridCol w:w="776"/>
        <w:gridCol w:w="2810"/>
        <w:gridCol w:w="1446"/>
        <w:gridCol w:w="1446"/>
        <w:gridCol w:w="1446"/>
        <w:gridCol w:w="1446"/>
        <w:gridCol w:w="1446"/>
        <w:gridCol w:w="723"/>
        <w:gridCol w:w="722"/>
        <w:gridCol w:w="1"/>
        <w:gridCol w:w="723"/>
        <w:gridCol w:w="72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23" w:type="dxa"/>
            <w:vMerge w:val="restart"/>
            <w:vAlign w:val="center"/>
          </w:tcPr>
          <w:p>
            <w:pPr>
              <w:pStyle w:val="2"/>
              <w:keepNext w:val="0"/>
              <w:keepLines w:val="0"/>
              <w:widowControl/>
              <w:suppressLineNumbers w:val="0"/>
              <w:spacing w:before="0" w:beforeAutospacing="1" w:after="0" w:afterAutospacing="1"/>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序号</w:t>
            </w:r>
          </w:p>
        </w:tc>
        <w:tc>
          <w:tcPr>
            <w:tcW w:w="1580" w:type="dxa"/>
            <w:gridSpan w:val="2"/>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rPr>
            </w:pPr>
            <w:r>
              <w:rPr>
                <w:rFonts w:hint="eastAsia" w:ascii="黑体" w:hAnsi="黑体" w:eastAsia="黑体" w:cs="黑体"/>
                <w:b w:val="0"/>
                <w:bCs/>
                <w:sz w:val="24"/>
                <w:szCs w:val="24"/>
                <w:lang w:val="en-US" w:eastAsia="zh-CN"/>
              </w:rPr>
              <w:t>公开事项</w:t>
            </w:r>
          </w:p>
        </w:tc>
        <w:tc>
          <w:tcPr>
            <w:tcW w:w="2810"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公开内容</w:t>
            </w:r>
          </w:p>
        </w:tc>
        <w:tc>
          <w:tcPr>
            <w:tcW w:w="1446"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公开依据</w:t>
            </w:r>
          </w:p>
        </w:tc>
        <w:tc>
          <w:tcPr>
            <w:tcW w:w="1446"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公开主体</w:t>
            </w:r>
          </w:p>
        </w:tc>
        <w:tc>
          <w:tcPr>
            <w:tcW w:w="1446"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责任股室</w:t>
            </w:r>
          </w:p>
        </w:tc>
        <w:tc>
          <w:tcPr>
            <w:tcW w:w="1446"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公开时限</w:t>
            </w:r>
          </w:p>
        </w:tc>
        <w:tc>
          <w:tcPr>
            <w:tcW w:w="1446" w:type="dxa"/>
            <w:vMerge w:val="restart"/>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rPr>
              <w:t>公开</w:t>
            </w:r>
            <w:r>
              <w:rPr>
                <w:rFonts w:hint="eastAsia" w:ascii="黑体" w:hAnsi="黑体" w:eastAsia="黑体" w:cs="黑体"/>
                <w:b w:val="0"/>
                <w:bCs/>
                <w:sz w:val="24"/>
                <w:szCs w:val="24"/>
                <w:lang w:val="en-US" w:eastAsia="zh-CN"/>
              </w:rPr>
              <w:t>渠道和载体</w:t>
            </w:r>
          </w:p>
        </w:tc>
        <w:tc>
          <w:tcPr>
            <w:tcW w:w="1445" w:type="dxa"/>
            <w:gridSpan w:val="2"/>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公开对象</w:t>
            </w:r>
          </w:p>
        </w:tc>
        <w:tc>
          <w:tcPr>
            <w:tcW w:w="1448" w:type="dxa"/>
            <w:gridSpan w:val="4"/>
            <w:vAlign w:val="center"/>
          </w:tcPr>
          <w:p>
            <w:pPr>
              <w:pStyle w:val="2"/>
              <w:keepNext w:val="0"/>
              <w:keepLines w:val="0"/>
              <w:widowControl/>
              <w:suppressLineNumbers w:val="0"/>
              <w:ind w:left="0" w:leftChars="0" w:right="0" w:rightChars="0"/>
              <w:jc w:val="center"/>
              <w:rPr>
                <w:rFonts w:hint="default"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723" w:type="dxa"/>
            <w:vMerge w:val="continue"/>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rPr>
            </w:pPr>
          </w:p>
        </w:tc>
        <w:tc>
          <w:tcPr>
            <w:tcW w:w="804" w:type="dxa"/>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一级事项</w:t>
            </w:r>
          </w:p>
        </w:tc>
        <w:tc>
          <w:tcPr>
            <w:tcW w:w="776" w:type="dxa"/>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二级事项</w:t>
            </w:r>
          </w:p>
        </w:tc>
        <w:tc>
          <w:tcPr>
            <w:tcW w:w="2810" w:type="dxa"/>
            <w:vMerge w:val="continue"/>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rPr>
            </w:pPr>
          </w:p>
        </w:tc>
        <w:tc>
          <w:tcPr>
            <w:tcW w:w="1446" w:type="dxa"/>
            <w:vMerge w:val="continue"/>
            <w:vAlign w:val="center"/>
          </w:tcPr>
          <w:p>
            <w:pPr>
              <w:pStyle w:val="2"/>
              <w:keepNext w:val="0"/>
              <w:keepLines w:val="0"/>
              <w:widowControl/>
              <w:suppressLineNumbers w:val="0"/>
              <w:ind w:left="0" w:leftChars="0" w:right="0" w:rightChars="0"/>
              <w:jc w:val="center"/>
              <w:rPr>
                <w:rFonts w:hint="eastAsia" w:ascii="黑体" w:hAnsi="黑体" w:eastAsia="黑体" w:cs="黑体"/>
                <w:b w:val="0"/>
                <w:bCs/>
                <w:sz w:val="24"/>
                <w:szCs w:val="24"/>
              </w:rPr>
            </w:pPr>
          </w:p>
        </w:tc>
        <w:tc>
          <w:tcPr>
            <w:tcW w:w="1446" w:type="dxa"/>
            <w:vMerge w:val="continue"/>
            <w:vAlign w:val="center"/>
          </w:tcPr>
          <w:p>
            <w:pPr>
              <w:jc w:val="center"/>
              <w:rPr>
                <w:rFonts w:hint="eastAsia" w:ascii="黑体" w:hAnsi="黑体" w:eastAsia="黑体" w:cs="黑体"/>
                <w:b w:val="0"/>
                <w:bCs/>
                <w:sz w:val="24"/>
                <w:szCs w:val="24"/>
                <w:vertAlign w:val="baseline"/>
                <w:lang w:val="en-US" w:eastAsia="zh-CN"/>
              </w:rPr>
            </w:pPr>
          </w:p>
        </w:tc>
        <w:tc>
          <w:tcPr>
            <w:tcW w:w="1446" w:type="dxa"/>
            <w:vMerge w:val="continue"/>
            <w:vAlign w:val="center"/>
          </w:tcPr>
          <w:p>
            <w:pPr>
              <w:jc w:val="center"/>
              <w:rPr>
                <w:rFonts w:hint="eastAsia" w:ascii="黑体" w:hAnsi="黑体" w:eastAsia="黑体" w:cs="黑体"/>
                <w:b w:val="0"/>
                <w:bCs/>
                <w:sz w:val="24"/>
                <w:szCs w:val="24"/>
                <w:vertAlign w:val="baseline"/>
                <w:lang w:val="en-US" w:eastAsia="zh-CN"/>
              </w:rPr>
            </w:pPr>
          </w:p>
        </w:tc>
        <w:tc>
          <w:tcPr>
            <w:tcW w:w="1446" w:type="dxa"/>
            <w:vMerge w:val="continue"/>
            <w:vAlign w:val="center"/>
          </w:tcPr>
          <w:p>
            <w:pPr>
              <w:jc w:val="center"/>
              <w:rPr>
                <w:rFonts w:hint="eastAsia" w:ascii="黑体" w:hAnsi="黑体" w:eastAsia="黑体" w:cs="黑体"/>
                <w:b w:val="0"/>
                <w:bCs/>
                <w:sz w:val="24"/>
                <w:szCs w:val="24"/>
                <w:vertAlign w:val="baseline"/>
                <w:lang w:val="en-US" w:eastAsia="zh-CN"/>
              </w:rPr>
            </w:pPr>
          </w:p>
        </w:tc>
        <w:tc>
          <w:tcPr>
            <w:tcW w:w="1446" w:type="dxa"/>
            <w:vMerge w:val="continue"/>
            <w:vAlign w:val="center"/>
          </w:tcPr>
          <w:p>
            <w:pPr>
              <w:jc w:val="center"/>
              <w:rPr>
                <w:rFonts w:hint="eastAsia" w:ascii="黑体" w:hAnsi="黑体" w:eastAsia="黑体" w:cs="黑体"/>
                <w:b w:val="0"/>
                <w:bCs/>
                <w:sz w:val="24"/>
                <w:szCs w:val="24"/>
                <w:vertAlign w:val="baseline"/>
                <w:lang w:val="en-US" w:eastAsia="zh-CN"/>
              </w:rPr>
            </w:pPr>
          </w:p>
        </w:tc>
        <w:tc>
          <w:tcPr>
            <w:tcW w:w="723" w:type="dxa"/>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全社会</w:t>
            </w:r>
          </w:p>
        </w:tc>
        <w:tc>
          <w:tcPr>
            <w:tcW w:w="723" w:type="dxa"/>
            <w:gridSpan w:val="2"/>
            <w:vAlign w:val="center"/>
          </w:tcPr>
          <w:p>
            <w:pPr>
              <w:jc w:val="center"/>
              <w:rPr>
                <w:rFonts w:hint="eastAsia"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特定群团</w:t>
            </w:r>
          </w:p>
        </w:tc>
        <w:tc>
          <w:tcPr>
            <w:tcW w:w="723" w:type="dxa"/>
            <w:vAlign w:val="center"/>
          </w:tcPr>
          <w:p>
            <w:pPr>
              <w:jc w:val="center"/>
              <w:rPr>
                <w:rFonts w:hint="default"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主动公开</w:t>
            </w:r>
          </w:p>
        </w:tc>
        <w:tc>
          <w:tcPr>
            <w:tcW w:w="723" w:type="dxa"/>
            <w:vAlign w:val="center"/>
          </w:tcPr>
          <w:p>
            <w:pPr>
              <w:jc w:val="center"/>
              <w:rPr>
                <w:rFonts w:hint="default" w:ascii="黑体" w:hAnsi="黑体" w:eastAsia="黑体" w:cs="黑体"/>
                <w:b w:val="0"/>
                <w:bCs/>
                <w:sz w:val="24"/>
                <w:szCs w:val="24"/>
                <w:vertAlign w:val="baseline"/>
                <w:lang w:val="en-US" w:eastAsia="zh-CN"/>
              </w:rPr>
            </w:pPr>
            <w:r>
              <w:rPr>
                <w:rFonts w:hint="eastAsia" w:ascii="黑体" w:hAnsi="黑体" w:eastAsia="黑体" w:cs="黑体"/>
                <w:b w:val="0"/>
                <w:bCs/>
                <w:sz w:val="24"/>
                <w:szCs w:val="24"/>
                <w:vertAlign w:val="baseline"/>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0" w:hRule="atLeast"/>
          <w:jc w:val="center"/>
        </w:trPr>
        <w:tc>
          <w:tcPr>
            <w:tcW w:w="723"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lang w:val="en-US" w:eastAsia="zh-CN"/>
              </w:rPr>
              <w:t>1</w:t>
            </w:r>
          </w:p>
        </w:tc>
        <w:tc>
          <w:tcPr>
            <w:tcW w:w="804"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组织机构</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pPr>
            <w:r>
              <w:t>机构简介</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本机关基本信息（办公地址、网址、联系电话、传真、电子邮箱、通讯地址、邮政编码等）。</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组织人事股</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pPr>
            <w:r>
              <w:t>领导信息</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本机关领导姓名、职务、照片、分工、其他个人信息。</w:t>
            </w: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pPr>
            <w:r>
              <w:t>机构职能</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本机关职能职责。</w:t>
            </w: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pPr>
            <w:r>
              <w:t>内设机构</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本机关内设机构职能，联系电话。</w:t>
            </w:r>
          </w:p>
        </w:tc>
        <w:tc>
          <w:tcPr>
            <w:tcW w:w="1446"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2</w:t>
            </w:r>
          </w:p>
        </w:tc>
        <w:tc>
          <w:tcPr>
            <w:tcW w:w="804"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政策法规</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地方法规</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县政府和县政府办公室行政法规、规章和规范性文件，现行规范性文件目录、已废止和修改的规范性文件目录。</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办公室</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3</w:t>
            </w: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政策解读</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各类政策文件的解读材料。</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《中华人民共和国政府信息公开条例》（国务院令第711号）、《国务院办公厅印发〈关于全面推进政务公开工作的意见〉实施细则的通知》（国办发〔2016〕80号）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办公室</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4</w:t>
            </w:r>
          </w:p>
        </w:tc>
        <w:tc>
          <w:tcPr>
            <w:tcW w:w="804"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人事管理</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人事信息</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人事任免公告，招考、遴选通知，录用公示等。</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组织人事股</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5</w:t>
            </w:r>
          </w:p>
        </w:tc>
        <w:tc>
          <w:tcPr>
            <w:tcW w:w="804"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财政信息</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财政预算</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大姚县工业信息化商务科学技术局财政预算报告，办公室预算及“三公”经费信息。</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《中华人民共和国政府信息公开条例》（国务院令第711号）、《财政部关于推进省以下预决算公开工作的通知》（财预〔2013〕309号）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财务室</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6</w:t>
            </w: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财政决算</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财务室财政决算报告，办公室决算及“三公”经费信息。</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《中华人民共和国政府信息公开条例》（国务院令第711号）、《财政部关于推进省以下预决算公开工作的通知》（财预〔2013〕309号）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财务室</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7</w:t>
            </w:r>
          </w:p>
        </w:tc>
        <w:tc>
          <w:tcPr>
            <w:tcW w:w="804"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建议提案</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人大代表建议</w:t>
            </w:r>
          </w:p>
        </w:tc>
        <w:tc>
          <w:tcPr>
            <w:tcW w:w="2810"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建议提案办理总体情况，办件复文。</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《中华人民共和国政府信息公开条例》（国务院令第711号）、《楚雄州人民政府办公室关于认真做好县人大代表建议和县政协提案办理结果公开工作的通知》</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财务室</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政协委员提案</w:t>
            </w:r>
          </w:p>
        </w:tc>
        <w:tc>
          <w:tcPr>
            <w:tcW w:w="281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8</w:t>
            </w:r>
          </w:p>
        </w:tc>
        <w:tc>
          <w:tcPr>
            <w:tcW w:w="804"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政府信息公开管理</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政府信息公开制度</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政府信息公开工作相关文件。</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无线电和信息化管理股</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9</w:t>
            </w: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政府信息公开指南</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政府信息公开工作机构的名称、办公地址、办公时间、联系方式和政府信息主动公开的范围、渠道、时限，依申请公开的申请方式、答复时限，不予公开事项及监督保障渠道等内容。</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无线电和信息化管理股</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10</w:t>
            </w:r>
          </w:p>
        </w:tc>
        <w:tc>
          <w:tcPr>
            <w:tcW w:w="80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政府信息公开年报</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（1）本机关主动公开政府信息的情况；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（2）本机关收到和处理政府信息公开申请的情况；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（3）因政府信息公开工作被申请行政复议、提起行政诉讼的情况；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（4）政府信息公开工作存在的主要问题及改进情况；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left"/>
              <w:textAlignment w:val="auto"/>
            </w:pPr>
            <w:r>
              <w:t>（5）工作考核、社会评议和责任追究结果情况；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（6）其他需要报告的事项。</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无线电和信息化管理股</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723"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bookmarkStart w:id="1" w:name="_GoBack" w:colFirst="11" w:colLast="11"/>
            <w:r>
              <w:t>11</w:t>
            </w:r>
          </w:p>
        </w:tc>
        <w:tc>
          <w:tcPr>
            <w:tcW w:w="804"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重大建设项目信息公开</w:t>
            </w:r>
          </w:p>
        </w:tc>
        <w:tc>
          <w:tcPr>
            <w:tcW w:w="77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招标投标信息</w:t>
            </w:r>
          </w:p>
        </w:tc>
        <w:tc>
          <w:tcPr>
            <w:tcW w:w="281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rPr>
                <w:rFonts w:hint="eastAsia" w:ascii="方正小标宋简体" w:hAnsi="方正小标宋简体" w:eastAsia="方正小标宋简体" w:cs="方正小标宋简体"/>
                <w:sz w:val="44"/>
                <w:szCs w:val="44"/>
                <w:vertAlign w:val="baseline"/>
                <w:lang w:val="en-US" w:eastAsia="zh-CN"/>
              </w:rPr>
            </w:pPr>
            <w:r>
              <w:t>本单位项目招标核准信息、招标公告、资格预审公告、中标候选人公示、中标结果公示、合同订立及履行情况、招标投标违法处罚信息等。</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方正小标宋简体" w:hAnsi="方正小标宋简体" w:eastAsia="方正小标宋简体" w:cs="方正小标宋简体"/>
                <w:sz w:val="44"/>
                <w:szCs w:val="44"/>
                <w:vertAlign w:val="baseline"/>
                <w:lang w:val="en-US" w:eastAsia="zh-CN"/>
              </w:rPr>
            </w:pPr>
            <w:r>
              <w:t>《中华人民共和国政府信息公开条例》（国务院令第711号）《国务院办公厅关于推进重大建设项目批准和实施领域政府信息公开的意见》（国办发〔2017〕94号）《云南省人民政府办公厅关于推进重大建设项目批准和实施领域政府信息公开的实施意见》（云政办发〔2018〕58号）</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方正小标宋简体" w:hAnsi="方正小标宋简体" w:eastAsia="方正小标宋简体" w:cs="方正小标宋简体"/>
                <w:sz w:val="44"/>
                <w:szCs w:val="44"/>
                <w:vertAlign w:val="baseline"/>
                <w:lang w:val="en-US" w:eastAsia="zh-CN"/>
              </w:rPr>
            </w:pPr>
            <w:r>
              <w:t>大姚县工业信息化商务科学技术局</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方正小标宋简体" w:hAnsi="方正小标宋简体" w:eastAsia="方正小标宋简体" w:cs="方正小标宋简体"/>
                <w:sz w:val="44"/>
                <w:szCs w:val="44"/>
                <w:vertAlign w:val="baseline"/>
                <w:lang w:val="en-US" w:eastAsia="zh-CN"/>
              </w:rPr>
            </w:pPr>
            <w:r>
              <w:t>工业园区股</w:t>
            </w:r>
          </w:p>
        </w:tc>
        <w:tc>
          <w:tcPr>
            <w:tcW w:w="144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方正小标宋简体" w:hAnsi="方正小标宋简体" w:eastAsia="方正小标宋简体" w:cs="方正小标宋简体"/>
                <w:sz w:val="44"/>
                <w:szCs w:val="44"/>
                <w:vertAlign w:val="baseline"/>
                <w:lang w:val="en-US" w:eastAsia="zh-CN"/>
              </w:rPr>
            </w:pPr>
            <w:r>
              <w:t>信息形成或变更之日起20个工作日内</w:t>
            </w:r>
          </w:p>
        </w:tc>
        <w:tc>
          <w:tcPr>
            <w:tcW w:w="1446"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政府网站</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gridSpan w:val="2"/>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方正小标宋简体" w:hAnsi="方正小标宋简体" w:eastAsia="方正小标宋简体" w:cs="方正小标宋简体"/>
                <w:sz w:val="44"/>
                <w:szCs w:val="44"/>
                <w:vertAlign w:val="baseline"/>
                <w:lang w:val="en-US" w:eastAsia="zh-CN"/>
              </w:rPr>
            </w:pPr>
            <w:r>
              <w:rPr>
                <w:rFonts w:hint="eastAsia" w:asciiTheme="minorHAnsi" w:hAnsiTheme="minorHAnsi" w:eastAsiaTheme="minorEastAsia" w:cstheme="minorBidi"/>
                <w:kern w:val="0"/>
                <w:sz w:val="24"/>
                <w:szCs w:val="24"/>
                <w:lang w:val="en-US" w:eastAsia="zh-CN" w:bidi="ar"/>
              </w:rPr>
              <w:t>√</w:t>
            </w:r>
          </w:p>
        </w:tc>
        <w:tc>
          <w:tcPr>
            <w:tcW w:w="723"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left"/>
              <w:textAlignment w:val="auto"/>
              <w:rPr>
                <w:rFonts w:hint="eastAsia" w:ascii="方正小标宋简体" w:hAnsi="方正小标宋简体" w:eastAsia="方正小标宋简体" w:cs="方正小标宋简体"/>
                <w:sz w:val="44"/>
                <w:szCs w:val="44"/>
                <w:vertAlign w:val="baseline"/>
                <w:lang w:val="en-US" w:eastAsia="zh-CN"/>
              </w:rPr>
            </w:pPr>
          </w:p>
        </w:tc>
      </w:tr>
    </w:tbl>
    <w:p>
      <w:pPr>
        <w:jc w:val="center"/>
        <w:rPr>
          <w:rFonts w:hint="eastAsia" w:ascii="方正小标宋简体" w:hAnsi="方正小标宋简体" w:eastAsia="方正小标宋简体" w:cs="方正小标宋简体"/>
          <w:sz w:val="44"/>
          <w:szCs w:val="44"/>
          <w:lang w:val="en-US" w:eastAsia="zh-CN"/>
        </w:rPr>
      </w:pPr>
    </w:p>
    <w:sectPr>
      <w:pgSz w:w="16838" w:h="11906" w:orient="landscape"/>
      <w:pgMar w:top="1803" w:right="850" w:bottom="1803"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8559C"/>
    <w:rsid w:val="42C52108"/>
    <w:rsid w:val="4CB12FFB"/>
    <w:rsid w:val="57A8559C"/>
    <w:rsid w:val="5E686DA6"/>
    <w:rsid w:val="7B20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楚雄州大姚县党政机关单位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2023-08-03T02:43:00Z</dcterms:created>
  <dc:creator>大姚工业信息化商务科学技术局</dc:creator>
  <cp:lastModifiedBy>大姚工业信息化商务科学技术局</cp:lastModifiedBy>
  <dcterms:modified xsi:type="dcterms:W3CDTF">2023-08-03T08:25:36Z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