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584"/>
        <w:gridCol w:w="570"/>
        <w:gridCol w:w="555"/>
        <w:gridCol w:w="615"/>
        <w:gridCol w:w="393"/>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3222" w:type="dxa"/>
            <w:gridSpan w:val="14"/>
            <w:vAlign w:val="center"/>
          </w:tcPr>
          <w:p>
            <w:pPr>
              <w:adjustRightInd w:val="0"/>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lang w:val="en-US" w:eastAsia="zh-CN"/>
              </w:rPr>
              <w:t>赵家店镇</w:t>
            </w:r>
            <w:bookmarkStart w:id="0" w:name="_GoBack"/>
            <w:bookmarkEnd w:id="0"/>
            <w:r>
              <w:rPr>
                <w:rFonts w:hint="eastAsia" w:asciiTheme="minorEastAsia" w:hAnsiTheme="minorEastAsia" w:eastAsiaTheme="minorEastAsia" w:cstheme="minorEastAsia"/>
                <w:b/>
                <w:sz w:val="44"/>
                <w:szCs w:val="44"/>
              </w:rPr>
              <w:t>公共法律服务领域基层政务公开标准目录</w:t>
            </w:r>
          </w:p>
          <w:p>
            <w:pPr>
              <w:adjustRightInd w:val="0"/>
              <w:spacing w:line="360" w:lineRule="auto"/>
              <w:jc w:val="center"/>
              <w:rPr>
                <w:rFonts w:hint="eastAsia" w:asciiTheme="minorEastAsia" w:hAnsiTheme="minorEastAsia" w:eastAsiaTheme="minorEastAsia" w:cstheme="minorEastAsia"/>
                <w:b/>
                <w:color w:val="000000"/>
                <w:sz w:val="40"/>
                <w:szCs w:val="40"/>
              </w:rPr>
            </w:pPr>
          </w:p>
        </w:tc>
        <w:tc>
          <w:tcPr>
            <w:tcW w:w="240" w:type="dxa"/>
            <w:vAlign w:val="center"/>
          </w:tcPr>
          <w:p>
            <w:pPr>
              <w:widowControl/>
              <w:jc w:val="center"/>
              <w:textAlignment w:val="center"/>
              <w:rPr>
                <w:rFonts w:hint="eastAsia" w:asciiTheme="minorEastAsia" w:hAnsiTheme="minorEastAsia" w:eastAsiaTheme="minorEastAsia" w:cstheme="minorEastAsia"/>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公开渠道和载体</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公开对象</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公开方式</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全社会</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w:t>
            </w:r>
          </w:p>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群体</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主动</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依申请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县级</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法治宣传</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法律法规资讯；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普法动态资讯；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1.辖区内法治文化阵地信息；</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广播电视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纸质媒体      ■公开查阅点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1.给予法律援助决定书；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2.不予法律援助决定书；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rPr>
              <w:t xml:space="preserve">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法律援助申请人、受指派的律师事务所或其他组织等</w:t>
            </w:r>
          </w:p>
        </w:tc>
        <w:tc>
          <w:tcPr>
            <w:tcW w:w="57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两微一端    □发布会/听证会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法律查询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1.法律法规库网址或链接；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赵家店司法所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法律咨询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赵家店司法所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1.公共法律服务平台建设相关规划；</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2.公共法律服务中心、工作站具体地址；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3.12348公共法律服务热线号码；</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4.中国法律服务网和各省级法律服务网网址；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赵家店司法所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■公开查阅点  </w:t>
            </w:r>
            <w:r>
              <w:rPr>
                <w:rFonts w:hint="eastAsia" w:asciiTheme="minorEastAsia" w:hAnsiTheme="minorEastAsia" w:eastAsiaTheme="minorEastAsia" w:cstheme="minorEastAsia"/>
                <w:color w:val="000000"/>
                <w:sz w:val="18"/>
                <w:szCs w:val="18"/>
              </w:rPr>
              <w:sym w:font="Wingdings 2" w:char="0052"/>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bl>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zc2NDM3MDVjODkyMjI4M2Y3YjA1ZDU0NWI1MDAifQ=="/>
  </w:docVars>
  <w:rsids>
    <w:rsidRoot w:val="00000000"/>
    <w:rsid w:val="134C1631"/>
    <w:rsid w:val="330D6704"/>
    <w:rsid w:val="3C2558BC"/>
    <w:rsid w:val="491C3D75"/>
    <w:rsid w:val="49D757ED"/>
    <w:rsid w:val="514E1FA4"/>
    <w:rsid w:val="59667C73"/>
    <w:rsid w:val="5F42397D"/>
    <w:rsid w:val="6807749D"/>
    <w:rsid w:val="69E54A98"/>
    <w:rsid w:val="7C9E5B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小惠</cp:lastModifiedBy>
  <cp:lastPrinted>2020-09-10T00:47:00Z</cp:lastPrinted>
  <dcterms:modified xsi:type="dcterms:W3CDTF">2023-10-20T04:10:36Z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D0DC31F4808949968C56D185803666BC_12</vt:lpwstr>
  </property>
</Properties>
</file>